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980440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946150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3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6" w:lineRule="exact"/>
        <w:rPr>
          <w:sz w:val="24"/>
          <w:szCs w:val="24"/>
          <w:color w:val="auto"/>
        </w:rPr>
      </w:pPr>
    </w:p>
    <w:p>
      <w:pPr>
        <w:jc w:val="center"/>
        <w:ind w:left="3760" w:right="900" w:hanging="3734"/>
        <w:spacing w:after="0" w:line="350" w:lineRule="auto"/>
        <w:tabs>
          <w:tab w:leader="none" w:pos="67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9" w:lineRule="exact"/>
        <w:rPr>
          <w:sz w:val="24"/>
          <w:szCs w:val="24"/>
          <w:color w:val="auto"/>
        </w:rPr>
      </w:pPr>
    </w:p>
    <w:p>
      <w:pPr>
        <w:ind w:left="3660"/>
        <w:spacing w:after="0"/>
        <w:tabs>
          <w:tab w:leader="none" w:pos="680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1-13102 (First Industrial Realty Trust, Inc.)</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333-21873 (First Industrial, L.P.)</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wp:posOffset>
            </wp:positionV>
            <wp:extent cx="190309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FIRST INDUSTRIAL REALTY TRUST,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FIRST INDUSTRIAL, L.P.</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420" w:type="dxa"/>
            <w:vAlign w:val="bottom"/>
            <w:gridSpan w:val="2"/>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w w:val="99"/>
              </w:rPr>
              <w:t>First Industrial Realty Trust, Inc.</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3480" w:type="dxa"/>
            <w:vAlign w:val="bottom"/>
          </w:tcPr>
          <w:p>
            <w:pPr>
              <w:jc w:val="center"/>
              <w:ind w:right="985"/>
              <w:spacing w:after="0"/>
              <w:rPr>
                <w:sz w:val="20"/>
                <w:szCs w:val="20"/>
                <w:color w:val="auto"/>
              </w:rPr>
            </w:pPr>
            <w:r>
              <w:rPr>
                <w:rFonts w:ascii="Times New Roman" w:cs="Times New Roman" w:eastAsia="Times New Roman" w:hAnsi="Times New Roman"/>
                <w:sz w:val="16"/>
                <w:szCs w:val="16"/>
                <w:b w:val="1"/>
                <w:bCs w:val="1"/>
                <w:color w:val="auto"/>
              </w:rPr>
              <w:t>36-3935116</w:t>
            </w:r>
          </w:p>
        </w:tc>
      </w:tr>
      <w:tr>
        <w:trPr>
          <w:trHeight w:val="215"/>
        </w:trPr>
        <w:tc>
          <w:tcPr>
            <w:tcW w:w="40" w:type="dxa"/>
            <w:vAlign w:val="bottom"/>
          </w:tcPr>
          <w:p>
            <w:pPr>
              <w:spacing w:after="0"/>
              <w:rPr>
                <w:sz w:val="18"/>
                <w:szCs w:val="18"/>
                <w:color w:val="auto"/>
              </w:rPr>
            </w:pPr>
          </w:p>
        </w:tc>
        <w:tc>
          <w:tcPr>
            <w:tcW w:w="300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First Industrial, L.P.</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80" w:type="dxa"/>
            <w:vAlign w:val="bottom"/>
          </w:tcPr>
          <w:p>
            <w:pPr>
              <w:jc w:val="center"/>
              <w:ind w:right="985"/>
              <w:spacing w:after="0"/>
              <w:rPr>
                <w:sz w:val="20"/>
                <w:szCs w:val="20"/>
                <w:color w:val="auto"/>
              </w:rPr>
            </w:pPr>
            <w:r>
              <w:rPr>
                <w:rFonts w:ascii="Times New Roman" w:cs="Times New Roman" w:eastAsia="Times New Roman" w:hAnsi="Times New Roman"/>
                <w:sz w:val="16"/>
                <w:szCs w:val="16"/>
                <w:b w:val="1"/>
                <w:bCs w:val="1"/>
                <w:color w:val="auto"/>
              </w:rPr>
              <w:t>36-3924586</w:t>
            </w:r>
          </w:p>
        </w:tc>
      </w:tr>
      <w:tr>
        <w:trPr>
          <w:trHeight w:val="128"/>
        </w:trPr>
        <w:tc>
          <w:tcPr>
            <w:tcW w:w="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0" w:type="dxa"/>
            <w:vAlign w:val="bottom"/>
            <w:gridSpan w:val="3"/>
          </w:tcPr>
          <w:p>
            <w:pPr>
              <w:jc w:val="center"/>
              <w:ind w:right="6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480" w:type="dxa"/>
            <w:vAlign w:val="bottom"/>
          </w:tcPr>
          <w:p>
            <w:pPr>
              <w:jc w:val="center"/>
              <w:ind w:right="985"/>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480" w:type="dxa"/>
            <w:vAlign w:val="bottom"/>
          </w:tcPr>
          <w:p>
            <w:pPr>
              <w:jc w:val="center"/>
              <w:ind w:right="98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533"/>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One North Wacker Drive, Suite 4200</w:t>
            </w:r>
          </w:p>
        </w:tc>
        <w:tc>
          <w:tcPr>
            <w:tcW w:w="3480" w:type="dxa"/>
            <w:vAlign w:val="bottom"/>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Chicago, Illinois, 60606</w:t>
            </w:r>
          </w:p>
        </w:tc>
        <w:tc>
          <w:tcPr>
            <w:tcW w:w="3480" w:type="dxa"/>
            <w:vAlign w:val="bottom"/>
          </w:tcPr>
          <w:p>
            <w:pPr>
              <w:spacing w:after="0"/>
              <w:rPr>
                <w:sz w:val="16"/>
                <w:szCs w:val="16"/>
                <w:color w:val="auto"/>
              </w:rPr>
            </w:pPr>
          </w:p>
        </w:tc>
      </w:tr>
      <w:tr>
        <w:trPr>
          <w:trHeight w:val="166"/>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3480" w:type="dxa"/>
            <w:vAlign w:val="bottom"/>
          </w:tcPr>
          <w:p>
            <w:pPr>
              <w:spacing w:after="0"/>
              <w:rPr>
                <w:sz w:val="14"/>
                <w:szCs w:val="14"/>
                <w:color w:val="auto"/>
              </w:rPr>
            </w:pPr>
          </w:p>
        </w:tc>
      </w:tr>
      <w:tr>
        <w:trPr>
          <w:trHeight w:val="522"/>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(312) 344-4300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66"/>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480" w:type="dxa"/>
            <w:vAlign w:val="bottom"/>
          </w:tcPr>
          <w:p>
            <w:pPr>
              <w:spacing w:after="0"/>
              <w:rPr>
                <w:sz w:val="14"/>
                <w:szCs w:val="14"/>
                <w:color w:val="auto"/>
              </w:rPr>
            </w:pPr>
          </w:p>
        </w:tc>
      </w:tr>
      <w:tr>
        <w:trPr>
          <w:trHeight w:val="280"/>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80" w:type="dxa"/>
            <w:vAlign w:val="bottom"/>
          </w:tcPr>
          <w:p>
            <w:pPr>
              <w:spacing w:after="0"/>
              <w:rPr>
                <w:sz w:val="24"/>
                <w:szCs w:val="24"/>
                <w:color w:val="auto"/>
              </w:rPr>
            </w:pPr>
          </w:p>
        </w:tc>
      </w:tr>
      <w:tr>
        <w:trPr>
          <w:trHeight w:val="340"/>
        </w:trPr>
        <w:tc>
          <w:tcPr>
            <w:tcW w:w="40" w:type="dxa"/>
            <w:vAlign w:val="bottom"/>
          </w:tcPr>
          <w:p>
            <w:pPr>
              <w:spacing w:after="0"/>
              <w:rPr>
                <w:sz w:val="24"/>
                <w:szCs w:val="24"/>
                <w:color w:val="auto"/>
              </w:rPr>
            </w:pPr>
          </w:p>
        </w:tc>
        <w:tc>
          <w:tcPr>
            <w:tcW w:w="300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8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0" w:type="dxa"/>
            <w:vAlign w:val="bottom"/>
          </w:tcPr>
          <w:p>
            <w:pPr>
              <w:spacing w:after="0"/>
              <w:rPr>
                <w:sz w:val="17"/>
                <w:szCs w:val="17"/>
                <w:color w:val="auto"/>
              </w:rPr>
            </w:pPr>
          </w:p>
        </w:tc>
        <w:tc>
          <w:tcPr>
            <w:tcW w:w="3420" w:type="dxa"/>
            <w:vAlign w:val="bottom"/>
            <w:tcBorders>
              <w:top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284"/>
              <w:spacing w:after="0"/>
              <w:rPr>
                <w:sz w:val="20"/>
                <w:szCs w:val="20"/>
                <w:color w:val="auto"/>
              </w:rPr>
            </w:pPr>
            <w:r>
              <w:rPr>
                <w:rFonts w:ascii="Times New Roman" w:cs="Times New Roman" w:eastAsia="Times New Roman" w:hAnsi="Times New Roman"/>
                <w:sz w:val="16"/>
                <w:szCs w:val="16"/>
                <w:color w:val="auto"/>
                <w:w w:val="91"/>
              </w:rPr>
              <w:t>FR</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73"/>
        </w:trPr>
        <w:tc>
          <w:tcPr>
            <w:tcW w:w="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1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480" w:type="dxa"/>
            <w:vAlign w:val="bottom"/>
          </w:tcPr>
          <w:p>
            <w:pPr>
              <w:spacing w:after="0"/>
              <w:rPr>
                <w:sz w:val="23"/>
                <w:szCs w:val="23"/>
                <w:color w:val="auto"/>
              </w:rPr>
            </w:pPr>
          </w:p>
        </w:tc>
      </w:tr>
      <w:tr>
        <w:trPr>
          <w:trHeight w:val="187"/>
        </w:trPr>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48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jc w:val="right"/>
              <w:ind w:right="344"/>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4"/>
        </w:trPr>
        <w:tc>
          <w:tcPr>
            <w:tcW w:w="11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r>
      <w:tr>
        <w:trPr>
          <w:trHeight w:val="35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Yes</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3600" w:type="dxa"/>
            <w:vAlign w:val="bottom"/>
            <w:gridSpan w:val="3"/>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24"/>
                <w:szCs w:val="24"/>
                <w:color w:val="auto"/>
              </w:rPr>
            </w:pPr>
          </w:p>
        </w:tc>
      </w:tr>
      <w:tr>
        <w:trPr>
          <w:trHeight w:val="24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L.P.</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Yes</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3600" w:type="dxa"/>
            <w:vAlign w:val="bottom"/>
            <w:gridSpan w:val="3"/>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21"/>
                <w:szCs w:val="21"/>
                <w:color w:val="auto"/>
              </w:rPr>
            </w:pPr>
          </w:p>
        </w:tc>
      </w:tr>
    </w:tbl>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Securities Exchange Act of 1934.</w:t>
      </w:r>
    </w:p>
    <w:p>
      <w:pPr>
        <w:spacing w:after="0" w:line="162" w:lineRule="exact"/>
        <w:rPr>
          <w:sz w:val="24"/>
          <w:szCs w:val="24"/>
          <w:color w:val="auto"/>
        </w:rPr>
      </w:pPr>
    </w:p>
    <w:p>
      <w:pPr>
        <w:ind w:left="20"/>
        <w:spacing w:after="0" w:line="161" w:lineRule="exact"/>
        <w:tabs>
          <w:tab w:leader="none" w:pos="3060" w:val="left"/>
          <w:tab w:leader="none" w:pos="3460" w:val="left"/>
          <w:tab w:leader="none" w:pos="3860" w:val="left"/>
          <w:tab w:leader="none" w:pos="4220" w:val="left"/>
        </w:tabs>
        <w:rPr>
          <w:sz w:val="20"/>
          <w:szCs w:val="20"/>
          <w:color w:val="auto"/>
        </w:rPr>
      </w:pPr>
      <w:r>
        <w:rPr>
          <w:rFonts w:ascii="Times New Roman" w:cs="Times New Roman" w:eastAsia="Times New Roman" w:hAnsi="Times New Roman"/>
          <w:sz w:val="14"/>
          <w:szCs w:val="14"/>
          <w:b w:val="1"/>
          <w:bCs w:val="1"/>
          <w:color w:val="auto"/>
        </w:rPr>
        <w:t>First Industrial Realty Trust, Inc.</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75" w:lineRule="exact"/>
        <w:rPr>
          <w:sz w:val="24"/>
          <w:szCs w:val="24"/>
          <w:color w:val="auto"/>
        </w:rPr>
      </w:pPr>
    </w:p>
    <w:p>
      <w:pPr>
        <w:ind w:left="20"/>
        <w:spacing w:after="0" w:line="161" w:lineRule="exact"/>
        <w:tabs>
          <w:tab w:leader="none" w:pos="3060" w:val="left"/>
          <w:tab w:leader="none" w:pos="3460" w:val="left"/>
          <w:tab w:leader="none" w:pos="3860" w:val="left"/>
          <w:tab w:leader="none" w:pos="4220" w:val="left"/>
        </w:tabs>
        <w:rPr>
          <w:sz w:val="20"/>
          <w:szCs w:val="20"/>
          <w:color w:val="auto"/>
        </w:rPr>
      </w:pPr>
      <w:r>
        <w:rPr>
          <w:rFonts w:ascii="Times New Roman" w:cs="Times New Roman" w:eastAsia="Times New Roman" w:hAnsi="Times New Roman"/>
          <w:sz w:val="14"/>
          <w:szCs w:val="14"/>
          <w:b w:val="1"/>
          <w:bCs w:val="1"/>
          <w:color w:val="auto"/>
        </w:rPr>
        <w:t>First Industrial, L.P.</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20"/>
        <w:spacing w:after="0" w:line="161" w:lineRule="exact"/>
        <w:tabs>
          <w:tab w:leader="none" w:pos="3060" w:val="left"/>
          <w:tab w:leader="none" w:pos="3460" w:val="left"/>
          <w:tab w:leader="none" w:pos="3860" w:val="left"/>
          <w:tab w:leader="none" w:pos="4220" w:val="left"/>
        </w:tabs>
        <w:rPr>
          <w:sz w:val="20"/>
          <w:szCs w:val="20"/>
          <w:color w:val="auto"/>
        </w:rPr>
      </w:pPr>
      <w:r>
        <w:rPr>
          <w:rFonts w:ascii="Times New Roman" w:cs="Times New Roman" w:eastAsia="Times New Roman" w:hAnsi="Times New Roman"/>
          <w:sz w:val="14"/>
          <w:szCs w:val="14"/>
          <w:b w:val="1"/>
          <w:bCs w:val="1"/>
          <w:color w:val="auto"/>
        </w:rPr>
        <w:t>First Industrial Realty Trust, Inc.</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Wingdings" w:cs="Wingdings" w:eastAsia="Wingdings" w:hAnsi="Wingdings"/>
          <w:sz w:val="13"/>
          <w:szCs w:val="13"/>
          <w:b w:val="1"/>
          <w:bCs w:val="1"/>
          <w:color w:val="auto"/>
        </w:rPr>
        <w:t>o</w:t>
      </w:r>
    </w:p>
    <w:p>
      <w:pPr>
        <w:spacing w:after="0" w:line="75" w:lineRule="exact"/>
        <w:rPr>
          <w:sz w:val="24"/>
          <w:szCs w:val="24"/>
          <w:color w:val="auto"/>
        </w:rPr>
      </w:pPr>
    </w:p>
    <w:p>
      <w:pPr>
        <w:ind w:left="20"/>
        <w:spacing w:after="0" w:line="161" w:lineRule="exact"/>
        <w:tabs>
          <w:tab w:leader="none" w:pos="3060" w:val="left"/>
          <w:tab w:leader="none" w:pos="3460" w:val="left"/>
          <w:tab w:leader="none" w:pos="3860" w:val="left"/>
          <w:tab w:leader="none" w:pos="4220" w:val="left"/>
        </w:tabs>
        <w:rPr>
          <w:sz w:val="20"/>
          <w:szCs w:val="20"/>
          <w:color w:val="auto"/>
        </w:rPr>
      </w:pPr>
      <w:r>
        <w:rPr>
          <w:rFonts w:ascii="Times New Roman" w:cs="Times New Roman" w:eastAsia="Times New Roman" w:hAnsi="Times New Roman"/>
          <w:sz w:val="14"/>
          <w:szCs w:val="14"/>
          <w:b w:val="1"/>
          <w:bCs w:val="1"/>
          <w:color w:val="auto"/>
        </w:rPr>
        <w:t>First Industrial, L.P.</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Wingdings" w:cs="Wingdings" w:eastAsia="Wingdings" w:hAnsi="Wingdings"/>
          <w:sz w:val="13"/>
          <w:szCs w:val="13"/>
          <w:b w:val="1"/>
          <w:bCs w:val="1"/>
          <w:color w:val="auto"/>
        </w:rPr>
        <w:t>o</w:t>
      </w:r>
    </w:p>
    <w:p>
      <w:pPr>
        <w:sectPr>
          <w:pgSz w:w="11900" w:h="16838" w:orient="portrait"/>
          <w:cols w:equalWidth="0" w:num="1">
            <w:col w:w="11240"/>
          </w:cols>
          <w:pgMar w:left="320" w:top="1440" w:right="339" w:bottom="142" w:gutter="0" w:footer="0" w:header="0"/>
        </w:sectPr>
      </w:pP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sectPr>
          <w:pgSz w:w="11900" w:h="16838" w:orient="portrait"/>
          <w:cols w:equalWidth="0" w:num="1">
            <w:col w:w="11240"/>
          </w:cols>
          <w:pgMar w:left="320" w:top="1440" w:right="339" w:bottom="142" w:gutter="0" w:footer="0" w:header="0"/>
          <w:type w:val="continuous"/>
        </w:sectPr>
      </w:pPr>
    </w:p>
    <w:bookmarkStart w:id="1" w:name="page2"/>
    <w:bookmarkEnd w:id="1"/>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0"/>
          <w:szCs w:val="20"/>
          <w:color w:val="auto"/>
        </w:rPr>
      </w:pPr>
      <w:r>
        <w:rPr>
          <w:sz w:val="20"/>
          <w:szCs w:val="20"/>
          <w:color w:val="auto"/>
        </w:rPr>
        <w:br w:type="column"/>
      </w:r>
    </w:p>
    <w:p>
      <w:pPr>
        <w:jc w:val="both"/>
        <w:spacing w:after="0" w:line="202"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58"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82" w:lineRule="exact"/>
        <w:rPr>
          <w:sz w:val="20"/>
          <w:szCs w:val="20"/>
          <w:color w:val="auto"/>
        </w:rPr>
      </w:pPr>
    </w:p>
    <w:p>
      <w:pPr>
        <w:sectPr>
          <w:pgSz w:w="11900" w:h="16838" w:orient="portrait"/>
          <w:cols w:equalWidth="0" w:num="4">
            <w:col w:w="2360" w:space="720"/>
            <w:col w:w="200" w:space="200"/>
            <w:col w:w="580" w:space="180"/>
            <w:col w:w="7000"/>
          </w:cols>
          <w:pgMar w:left="320" w:top="193" w:right="33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tc>
        <w:tc>
          <w:tcPr>
            <w:tcW w:w="4200" w:type="dxa"/>
            <w:vAlign w:val="bottom"/>
            <w:vMerge w:val="restart"/>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2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200" w:type="dxa"/>
            <w:vAlign w:val="bottom"/>
            <w:vMerge w:val="continue"/>
          </w:tcPr>
          <w:p>
            <w:pPr>
              <w:spacing w:after="0"/>
              <w:rPr>
                <w:sz w:val="17"/>
                <w:szCs w:val="17"/>
                <w:color w:val="auto"/>
              </w:rPr>
            </w:pPr>
          </w:p>
        </w:tc>
        <w:tc>
          <w:tcPr>
            <w:tcW w:w="2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95"/>
              </w:rPr>
              <w:t>o</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200" w:type="dxa"/>
            <w:vAlign w:val="bottom"/>
          </w:tcPr>
          <w:p>
            <w:pPr>
              <w:ind w:left="480"/>
              <w:spacing w:after="0"/>
              <w:rPr>
                <w:sz w:val="20"/>
                <w:szCs w:val="20"/>
                <w:color w:val="auto"/>
              </w:rPr>
            </w:pPr>
            <w:r>
              <w:rPr>
                <w:rFonts w:ascii="Wingdings" w:cs="Wingdings" w:eastAsia="Wingdings" w:hAnsi="Wingdings"/>
                <w:sz w:val="14"/>
                <w:szCs w:val="14"/>
                <w:b w:val="1"/>
                <w:bCs w:val="1"/>
                <w:color w:val="auto"/>
              </w:rPr>
              <w:t>o</w:t>
            </w:r>
          </w:p>
        </w:tc>
        <w:tc>
          <w:tcPr>
            <w:tcW w:w="2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1"/>
                <w:szCs w:val="21"/>
                <w:color w:val="auto"/>
              </w:rPr>
            </w:pPr>
          </w:p>
        </w:tc>
        <w:tc>
          <w:tcPr>
            <w:tcW w:w="42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29"/>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First Industrial, L.P.:</w:t>
            </w:r>
          </w:p>
        </w:tc>
        <w:tc>
          <w:tcPr>
            <w:tcW w:w="4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00" w:type="dxa"/>
            <w:vAlign w:val="bottom"/>
            <w:vMerge w:val="restart"/>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9"/>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200" w:type="dxa"/>
            <w:vAlign w:val="bottom"/>
          </w:tcPr>
          <w:p>
            <w:pPr>
              <w:ind w:left="500"/>
              <w:spacing w:after="0"/>
              <w:rPr>
                <w:sz w:val="20"/>
                <w:szCs w:val="20"/>
                <w:color w:val="auto"/>
              </w:rPr>
            </w:pPr>
            <w:r>
              <w:rPr>
                <w:rFonts w:ascii="Wingdings" w:cs="Wingdings" w:eastAsia="Wingdings" w:hAnsi="Wingdings"/>
                <w:sz w:val="14"/>
                <w:szCs w:val="14"/>
                <w:b w:val="1"/>
                <w:bCs w:val="1"/>
                <w:color w:val="auto"/>
              </w:rPr>
              <w:t>o</w:t>
            </w:r>
          </w:p>
        </w:tc>
        <w:tc>
          <w:tcPr>
            <w:tcW w:w="2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200" w:type="dxa"/>
            <w:vAlign w:val="bottom"/>
          </w:tcPr>
          <w:p>
            <w:pPr>
              <w:ind w:left="500"/>
              <w:spacing w:after="0"/>
              <w:rPr>
                <w:sz w:val="20"/>
                <w:szCs w:val="20"/>
                <w:color w:val="auto"/>
              </w:rPr>
            </w:pPr>
            <w:r>
              <w:rPr>
                <w:rFonts w:ascii="Wingdings" w:cs="Wingdings" w:eastAsia="Wingdings" w:hAnsi="Wingdings"/>
                <w:sz w:val="14"/>
                <w:szCs w:val="14"/>
                <w:b w:val="1"/>
                <w:bCs w:val="1"/>
                <w:color w:val="auto"/>
              </w:rPr>
              <w:t>o</w:t>
            </w:r>
          </w:p>
        </w:tc>
        <w:tc>
          <w:tcPr>
            <w:tcW w:w="2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1"/>
                <w:szCs w:val="21"/>
                <w:color w:val="auto"/>
              </w:rPr>
            </w:pPr>
          </w:p>
        </w:tc>
        <w:tc>
          <w:tcPr>
            <w:tcW w:w="42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193" w:right="339" w:bottom="1440" w:gutter="0" w:footer="0" w:header="0"/>
          <w:type w:val="continuous"/>
        </w:sectPr>
      </w:pP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55" w:lineRule="exact"/>
        <w:rPr>
          <w:sz w:val="20"/>
          <w:szCs w:val="20"/>
          <w:color w:val="auto"/>
        </w:rPr>
      </w:pPr>
    </w:p>
    <w:p>
      <w:pPr>
        <w:sectPr>
          <w:pgSz w:w="11900" w:h="16838" w:orient="portrait"/>
          <w:cols w:equalWidth="0" w:num="2">
            <w:col w:w="2340" w:space="720"/>
            <w:col w:w="8180"/>
          </w:cols>
          <w:pgMar w:left="320" w:top="193"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b w:val="1"/>
          <w:bCs w:val="1"/>
          <w:color w:val="auto"/>
        </w:rPr>
        <w:t>First Industrial,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196" w:lineRule="exact"/>
        <w:rPr>
          <w:sz w:val="20"/>
          <w:szCs w:val="20"/>
          <w:color w:val="auto"/>
        </w:rPr>
      </w:pPr>
    </w:p>
    <w:p>
      <w:pPr>
        <w:sectPr>
          <w:pgSz w:w="11900" w:h="16838" w:orient="portrait"/>
          <w:cols w:equalWidth="0" w:num="2">
            <w:col w:w="2340" w:space="720"/>
            <w:col w:w="8180"/>
          </w:cols>
          <w:pgMar w:left="320" w:top="193"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900" w:h="16838" w:orient="portrait"/>
          <w:cols w:equalWidth="0" w:num="1">
            <w:col w:w="11240"/>
          </w:cols>
          <w:pgMar w:left="320" w:top="193"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L.P.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3" w:lineRule="exact"/>
        <w:rPr>
          <w:sz w:val="20"/>
          <w:szCs w:val="20"/>
          <w:color w:val="auto"/>
        </w:rPr>
      </w:pPr>
    </w:p>
    <w:p>
      <w:pPr>
        <w:sectPr>
          <w:pgSz w:w="11900" w:h="16838" w:orient="portrait"/>
          <w:cols w:equalWidth="0" w:num="2">
            <w:col w:w="2380" w:space="720"/>
            <w:col w:w="8140"/>
          </w:cols>
          <w:pgMar w:left="320" w:top="193"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40"/>
          </w:cols>
          <w:pgMar w:left="320" w:top="193" w:right="339" w:bottom="1440" w:gutter="0" w:footer="0" w:header="0"/>
          <w:type w:val="continuous"/>
        </w:sectPr>
      </w:pP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55" w:lineRule="exact"/>
        <w:rPr>
          <w:sz w:val="20"/>
          <w:szCs w:val="20"/>
          <w:color w:val="auto"/>
        </w:rPr>
      </w:pPr>
    </w:p>
    <w:p>
      <w:pPr>
        <w:sectPr>
          <w:pgSz w:w="11900" w:h="16838" w:orient="portrait"/>
          <w:cols w:equalWidth="0" w:num="2">
            <w:col w:w="2340" w:space="720"/>
            <w:col w:w="8180"/>
          </w:cols>
          <w:pgMar w:left="320" w:top="193"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b w:val="1"/>
          <w:bCs w:val="1"/>
          <w:color w:val="auto"/>
        </w:rPr>
        <w:t>First Industrial,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196" w:lineRule="exact"/>
        <w:rPr>
          <w:sz w:val="20"/>
          <w:szCs w:val="20"/>
          <w:color w:val="auto"/>
        </w:rPr>
      </w:pPr>
    </w:p>
    <w:p>
      <w:pPr>
        <w:sectPr>
          <w:pgSz w:w="11900" w:h="16838" w:orient="portrait"/>
          <w:cols w:equalWidth="0" w:num="2">
            <w:col w:w="2340" w:space="720"/>
            <w:col w:w="8180"/>
          </w:cols>
          <w:pgMar w:left="320" w:top="193"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ectPr>
          <w:pgSz w:w="11900" w:h="16838" w:orient="portrait"/>
          <w:cols w:equalWidth="0" w:num="1">
            <w:col w:w="11240"/>
          </w:cols>
          <w:pgMar w:left="320" w:top="193" w:right="339" w:bottom="1440" w:gutter="0" w:footer="0" w:header="0"/>
          <w:type w:val="continuous"/>
        </w:sectPr>
      </w:pP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55" w:lineRule="exact"/>
        <w:rPr>
          <w:sz w:val="20"/>
          <w:szCs w:val="20"/>
          <w:color w:val="auto"/>
        </w:rPr>
      </w:pPr>
    </w:p>
    <w:p>
      <w:pPr>
        <w:sectPr>
          <w:pgSz w:w="11900" w:h="16838" w:orient="portrait"/>
          <w:cols w:equalWidth="0" w:num="2">
            <w:col w:w="2340" w:space="720"/>
            <w:col w:w="8180"/>
          </w:cols>
          <w:pgMar w:left="320" w:top="193"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b w:val="1"/>
          <w:bCs w:val="1"/>
          <w:color w:val="auto"/>
        </w:rPr>
        <w:t>First Industrial,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196" w:lineRule="exact"/>
        <w:rPr>
          <w:sz w:val="20"/>
          <w:szCs w:val="20"/>
          <w:color w:val="auto"/>
        </w:rPr>
      </w:pPr>
    </w:p>
    <w:p>
      <w:pPr>
        <w:sectPr>
          <w:pgSz w:w="11900" w:h="16838" w:orient="portrait"/>
          <w:cols w:equalWidth="0" w:num="2">
            <w:col w:w="2340" w:space="720"/>
            <w:col w:w="8180"/>
          </w:cols>
          <w:pgMar w:left="320" w:top="19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193" w:right="339" w:bottom="1440" w:gutter="0" w:footer="0" w:header="0"/>
          <w:type w:val="continuous"/>
        </w:sectPr>
      </w:pP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Realty Trust,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First Industrial, L.P.</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22"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81" w:lineRule="exact"/>
        <w:rPr>
          <w:sz w:val="20"/>
          <w:szCs w:val="20"/>
          <w:color w:val="auto"/>
        </w:rPr>
      </w:pPr>
    </w:p>
    <w:p>
      <w:pPr>
        <w:sectPr>
          <w:pgSz w:w="11900" w:h="16838" w:orient="portrait"/>
          <w:cols w:equalWidth="0" w:num="4">
            <w:col w:w="2360" w:space="720"/>
            <w:col w:w="200" w:space="200"/>
            <w:col w:w="580" w:space="180"/>
            <w:col w:w="7000"/>
          </w:cols>
          <w:pgMar w:left="320" w:top="193"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First Industrial Realty Trust, Inc. was approximately $6,345.6 million based on the closing price on the New York Stock Exchange for such stock on June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11, 2026, 132,524,261 shares of First Industrial Realty Trust, Inc.'s Common Stock, $0.01 par value, were outstanding.</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Part III incorporates certain information by reference to First Industrial Realty Trust, Inc.'s definitive proxy statement expected to be filed with the Securities and Exchange Commission no later than 120 days after the end of First Industrial Realty Trust, Inc.'s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combines the Annual Reports on Form 10-K for the period ended December 31, 2025 of First Industrial Realty Trust, Inc., a Maryland corporation (the "Company"), and First Industrial, L.P., a Delaware limited partnership (the "Operating Partnership"). Unless stated otherwise or the context otherwise requires, the terms "we," "our" and "us" refer to the Company and its subsidiaries, including the Operating Partnership and its consolidated subsidiaries.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real estate investment trust and the general partner of the Operating Partnership. At December 31, 2025, the Company owned an approximate 97.0% common general partnership interest in the Operating Partnership. The remaining approximate 3.0% common limited partnership interests in the Operating Partnership are owned by limited partners. The limited partners of the Operating Partnership primarily include persons or entities who contributed their direct or indirect interests in properties to the Operating Partnership in exchange for limited partnership interests in the Operating Partnership and recipients of RLP Units (as defined in Note 6 to the Consolidated Financial Statements) of the Operating Partnership pursuant to the Company's Stock Incentive Plan (as defined in Note 11 to the Consolidated Financial Statements). As the sole general partner of the Operating Partnership, the Company exercises exclusive and complete discretion over the Operating Partnership's day-to-day management and control and can cause it to enter into certain major transactions, including acquisitions, dispositions and refinancings. The management of the Company consists of the same members as the management of the Operating Partnership.</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Operating Partnership are managed and operated as one enterprise. The financial results of the Operating Partnership are consolidated into the financial statements of the Company. The Company has no significant assets other than its investment in the Operating Partnership. Substantially all of the Company's assets are held by, and its operations are conducted through, the Operating Partnership and its subsidiaries. Therefore, the assets and liabilities of the Company and the Operating Partnership are substantially the same.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it is important to understand the differences between the Company and the Operating Partnership in the context of how the Company and the Operating Partnership operate as an interrelated, consolidated company. The main areas of difference between the Consolidated Financial Statements of the Company and those of the Operating Partnership are:</w:t>
      </w:r>
    </w:p>
    <w:p>
      <w:pPr>
        <w:spacing w:after="0" w:line="120" w:lineRule="exact"/>
        <w:rPr>
          <w:sz w:val="20"/>
          <w:szCs w:val="20"/>
          <w:color w:val="auto"/>
        </w:rPr>
      </w:pPr>
    </w:p>
    <w:p>
      <w:pPr>
        <w:jc w:val="both"/>
        <w:ind w:left="6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Noncontrolling Interest and Partners' Capital. </w:t>
      </w:r>
      <w:r>
        <w:rPr>
          <w:rFonts w:ascii="Times New Roman" w:cs="Times New Roman" w:eastAsia="Times New Roman" w:hAnsi="Times New Roman"/>
          <w:sz w:val="18"/>
          <w:szCs w:val="18"/>
          <w:color w:val="auto"/>
        </w:rPr>
        <w:t>The 3.0% equity interest in the Operating Partnership held by persons or entities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classified as limited partners units in the Operating Partnership's financial statements and as a noncontrolling interest in the Company's financial statements.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Relationship to Other Real Estate Partnerships</w:t>
      </w:r>
      <w:r>
        <w:rPr>
          <w:rFonts w:ascii="Times New Roman" w:cs="Times New Roman" w:eastAsia="Times New Roman" w:hAnsi="Times New Roman"/>
          <w:sz w:val="18"/>
          <w:szCs w:val="18"/>
          <w:color w:val="auto"/>
        </w:rPr>
        <w:t>. The Company's operations are primarily conducted through the Operating Partnership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Additionally, several other limited partnerships, referred to as the "Other Real Estate Partnerships," also contribute to operations. In each of these partnerships, the Operating Partnership is a limited partner, holding at least a 99% interest, while the Company acts as general partner, holding at least .01% interest, held through several separate wholly-owned corporations. The Other Real Estate Partnerships are variable interest entities consolidated by both the Company and the Operating Partnership. The Company's direct general partnership interests in the Other Real Estate Partnerships are reflected as noncontrolling interests within the Operating Partnership's financial statements.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Relationship to Service Subsidiary. </w:t>
      </w:r>
      <w:r>
        <w:rPr>
          <w:rFonts w:ascii="Times New Roman" w:cs="Times New Roman" w:eastAsia="Times New Roman" w:hAnsi="Times New Roman"/>
          <w:sz w:val="18"/>
          <w:szCs w:val="18"/>
          <w:color w:val="auto"/>
        </w:rPr>
        <w:t>The Company has a direct wholly-owned subsidiary that does not own any real estate but provides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entities owned by the Company. Since the Operating Partnership does not hold an ownership interest in this entity, its operations are reflected in the consolidated results of the Company but not in those of the Operating Partnership. Also, this entity has outstanding obligations to the Operating Partnership, which are recorded as a receivable on the Operating Partnership's balance sheet but is eliminated on the Company's Consolidated Balance Sheet, since both this entity and the Operating Partnership are fully consolidated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combining the Company's and Operating Partnership's annual reports into this single report results in the following benefits:</w:t>
      </w:r>
    </w:p>
    <w:p>
      <w:pPr>
        <w:spacing w:after="0" w:line="171"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Company and the Operating Partnership by enabling them to view the business as a whole and in the same manner as management views and operates the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disclosures and provides a more streamlined and readable presentation since a substantial portion of the Company's disclosure applies to both the Company and the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To help investors understand the differences between the Company and the Operating Partnership, this report provides the following disclosures for each of the Company and the Operating Partnership:</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set of consolidated notes to such financial statements that includes separate discussions of each entity's equity or partners' capital, as applicable;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Management's Discussion and Analysis of Financial Condition and Results of Operations section that includes distinct information related to each entity.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also includes separate Part II, Item 9A, Controls and Procedures sections and separate Exhibit 31 and 32 certifications for the Company and the Operating Partnership in order to establish that the requisite certifications have been made and that the Company and the Operating Partnership are both compliant with Rule 13a-15 and Rule 15d-15 of the Securities Exchange Act of 1934, as amended,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360" w:type="dxa"/>
            <w:vAlign w:val="bottom"/>
            <w:gridSpan w:val="12"/>
            <w:vMerge w:val="restart"/>
          </w:tcPr>
          <w:p>
            <w:pPr>
              <w:jc w:val="center"/>
              <w:ind w:right="4720"/>
              <w:spacing w:after="0" w:line="193" w:lineRule="exact"/>
              <w:rPr>
                <w:sz w:val="20"/>
                <w:szCs w:val="20"/>
                <w:color w:val="auto"/>
              </w:rPr>
            </w:pPr>
            <w:r>
              <w:rPr>
                <w:rFonts w:ascii="Times New Roman" w:cs="Times New Roman" w:eastAsia="Times New Roman" w:hAnsi="Times New Roman"/>
                <w:sz w:val="18"/>
                <w:szCs w:val="18"/>
                <w:b w:val="1"/>
                <w:bCs w:val="1"/>
                <w:color w:val="0000FF"/>
                <w:w w:val="98"/>
              </w:rPr>
              <w:t>PART I.</w:t>
            </w: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360" w:type="dxa"/>
            <w:vAlign w:val="bottom"/>
            <w:gridSpan w:val="12"/>
            <w:vMerge w:val="continue"/>
          </w:tcPr>
          <w:p>
            <w:pPr>
              <w:spacing w:after="0"/>
              <w:rPr>
                <w:sz w:val="15"/>
                <w:szCs w:val="15"/>
                <w:color w:val="auto"/>
              </w:rPr>
            </w:pPr>
          </w:p>
        </w:tc>
        <w:tc>
          <w:tcPr>
            <w:tcW w:w="1120" w:type="dxa"/>
            <w:vAlign w:val="bottom"/>
            <w:gridSpan w:val="5"/>
          </w:tcPr>
          <w:p>
            <w:pPr>
              <w:jc w:val="right"/>
              <w:ind w:right="20"/>
              <w:spacing w:after="0" w:line="156"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440" w:type="dxa"/>
            <w:vAlign w:val="bottom"/>
            <w:gridSpan w:val="14"/>
          </w:tcPr>
          <w:p>
            <w:pPr>
              <w:spacing w:after="0"/>
              <w:rPr>
                <w:sz w:val="18"/>
                <w:szCs w:val="18"/>
                <w:color w:val="auto"/>
              </w:rPr>
            </w:pPr>
          </w:p>
        </w:tc>
        <w:tc>
          <w:tcPr>
            <w:tcW w:w="380" w:type="dxa"/>
            <w:vAlign w:val="bottom"/>
            <w:tcBorders>
              <w:top w:val="single" w:sz="8" w:color="0000FF"/>
            </w:tcBorders>
            <w:gridSpan w:val="3"/>
          </w:tcPr>
          <w:p>
            <w:pPr>
              <w:spacing w:after="0"/>
              <w:rPr>
                <w:sz w:val="18"/>
                <w:szCs w:val="18"/>
                <w:color w:val="auto"/>
              </w:rPr>
            </w:pPr>
          </w:p>
        </w:tc>
        <w:tc>
          <w:tcPr>
            <w:tcW w:w="4700" w:type="dxa"/>
            <w:vAlign w:val="bottom"/>
            <w:gridSpan w:val="8"/>
          </w:tcPr>
          <w:p>
            <w:pPr>
              <w:spacing w:after="0"/>
              <w:rPr>
                <w:sz w:val="18"/>
                <w:szCs w:val="18"/>
                <w:color w:val="auto"/>
              </w:rPr>
            </w:pPr>
          </w:p>
        </w:tc>
        <w:tc>
          <w:tcPr>
            <w:tcW w:w="1000" w:type="dxa"/>
            <w:vAlign w:val="bottom"/>
            <w:gridSpan w:val="3"/>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60" w:type="dxa"/>
            <w:vAlign w:val="bottom"/>
            <w:gridSpan w:val="23"/>
          </w:tcPr>
          <w:p>
            <w:pPr>
              <w:spacing w:after="0"/>
              <w:rPr>
                <w:sz w:val="18"/>
                <w:szCs w:val="18"/>
                <w:color w:val="auto"/>
              </w:rPr>
            </w:pPr>
          </w:p>
        </w:tc>
        <w:tc>
          <w:tcPr>
            <w:tcW w:w="100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Unresolved SEC Comments</w:t>
            </w:r>
          </w:p>
        </w:tc>
        <w:tc>
          <w:tcPr>
            <w:tcW w:w="7140" w:type="dxa"/>
            <w:vAlign w:val="bottom"/>
            <w:gridSpan w:val="16"/>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gridSpan w:val="6"/>
          </w:tcPr>
          <w:p>
            <w:pPr>
              <w:spacing w:after="0"/>
              <w:rPr>
                <w:sz w:val="18"/>
                <w:szCs w:val="18"/>
                <w:color w:val="auto"/>
              </w:rPr>
            </w:pPr>
          </w:p>
        </w:tc>
        <w:tc>
          <w:tcPr>
            <w:tcW w:w="7140" w:type="dxa"/>
            <w:vAlign w:val="bottom"/>
            <w:gridSpan w:val="16"/>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Properties</w:t>
            </w:r>
          </w:p>
        </w:tc>
        <w:tc>
          <w:tcPr>
            <w:tcW w:w="280" w:type="dxa"/>
            <w:vAlign w:val="bottom"/>
            <w:gridSpan w:val="2"/>
          </w:tcPr>
          <w:p>
            <w:pPr>
              <w:spacing w:after="0"/>
              <w:rPr>
                <w:sz w:val="18"/>
                <w:szCs w:val="18"/>
                <w:color w:val="auto"/>
              </w:rPr>
            </w:pPr>
          </w:p>
        </w:tc>
        <w:tc>
          <w:tcPr>
            <w:tcW w:w="8160" w:type="dxa"/>
            <w:vAlign w:val="bottom"/>
            <w:gridSpan w:val="22"/>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400" w:type="dxa"/>
            <w:vAlign w:val="bottom"/>
            <w:gridSpan w:val="18"/>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0" w:type="dxa"/>
            <w:vAlign w:val="bottom"/>
            <w:gridSpan w:val="13"/>
            <w:vMerge w:val="restart"/>
          </w:tcPr>
          <w:p>
            <w:pPr>
              <w:jc w:val="center"/>
              <w:ind w:right="470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13"/>
            <w:vMerge w:val="continue"/>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 Partners' Capital, Related Stockholder / Unitholder Matters and Issuer Purchases of</w:t>
            </w: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7720" w:type="dxa"/>
            <w:vAlign w:val="bottom"/>
            <w:tcBorders>
              <w:top w:val="single" w:sz="8" w:color="0000FF"/>
            </w:tcBorders>
            <w:gridSpan w:val="19"/>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580" w:type="dxa"/>
            <w:vAlign w:val="bottom"/>
            <w:tcBorders>
              <w:left w:val="single" w:sz="8" w:color="0000FF"/>
            </w:tcBorders>
            <w:gridSpan w:val="4"/>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[Reserved]</w:t>
            </w:r>
          </w:p>
        </w:tc>
        <w:tc>
          <w:tcPr>
            <w:tcW w:w="580" w:type="dxa"/>
            <w:vAlign w:val="bottom"/>
            <w:gridSpan w:val="4"/>
          </w:tcPr>
          <w:p>
            <w:pPr>
              <w:spacing w:after="0"/>
              <w:rPr>
                <w:sz w:val="18"/>
                <w:szCs w:val="18"/>
                <w:color w:val="auto"/>
              </w:rPr>
            </w:pPr>
          </w:p>
        </w:tc>
        <w:tc>
          <w:tcPr>
            <w:tcW w:w="7860" w:type="dxa"/>
            <w:vAlign w:val="bottom"/>
            <w:gridSpan w:val="20"/>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40" w:type="dxa"/>
            <w:vAlign w:val="bottom"/>
            <w:gridSpan w:val="3"/>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4"/>
          </w:tcPr>
          <w:p>
            <w:pPr>
              <w:spacing w:after="0"/>
              <w:rPr>
                <w:sz w:val="18"/>
                <w:szCs w:val="18"/>
                <w:color w:val="auto"/>
              </w:rPr>
            </w:pPr>
          </w:p>
        </w:tc>
        <w:tc>
          <w:tcPr>
            <w:tcW w:w="4820" w:type="dxa"/>
            <w:vAlign w:val="bottom"/>
            <w:gridSpan w:val="10"/>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60" w:type="dxa"/>
            <w:vAlign w:val="bottom"/>
            <w:gridSpan w:val="15"/>
          </w:tcPr>
          <w:p>
            <w:pPr>
              <w:spacing w:after="0"/>
              <w:rPr>
                <w:sz w:val="18"/>
                <w:szCs w:val="18"/>
                <w:color w:val="auto"/>
              </w:rPr>
            </w:pPr>
          </w:p>
        </w:tc>
        <w:tc>
          <w:tcPr>
            <w:tcW w:w="2740" w:type="dxa"/>
            <w:vAlign w:val="bottom"/>
            <w:gridSpan w:val="3"/>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8"/>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4280" w:type="dxa"/>
            <w:vAlign w:val="bottom"/>
            <w:gridSpan w:val="5"/>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Borders>
              <w:right w:val="single" w:sz="8" w:color="0000FF"/>
            </w:tcBorders>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6"/>
          </w:tcPr>
          <w:p>
            <w:pPr>
              <w:spacing w:after="0"/>
              <w:rPr>
                <w:sz w:val="18"/>
                <w:szCs w:val="18"/>
                <w:color w:val="auto"/>
              </w:rPr>
            </w:pPr>
          </w:p>
        </w:tc>
        <w:tc>
          <w:tcPr>
            <w:tcW w:w="5080" w:type="dxa"/>
            <w:vAlign w:val="bottom"/>
            <w:gridSpan w:val="11"/>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80" w:type="dxa"/>
            <w:vAlign w:val="bottom"/>
            <w:gridSpan w:val="2"/>
          </w:tcPr>
          <w:p>
            <w:pPr>
              <w:spacing w:after="0"/>
              <w:rPr>
                <w:sz w:val="18"/>
                <w:szCs w:val="18"/>
                <w:color w:val="auto"/>
              </w:rPr>
            </w:pPr>
          </w:p>
        </w:tc>
        <w:tc>
          <w:tcPr>
            <w:tcW w:w="1880" w:type="dxa"/>
            <w:vAlign w:val="bottom"/>
            <w:gridSpan w:val="2"/>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60" w:type="dxa"/>
            <w:vAlign w:val="bottom"/>
            <w:gridSpan w:val="4"/>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0" w:type="dxa"/>
            <w:vAlign w:val="bottom"/>
            <w:gridSpan w:val="13"/>
            <w:vMerge w:val="restart"/>
          </w:tcPr>
          <w:p>
            <w:pPr>
              <w:jc w:val="center"/>
              <w:ind w:right="4680"/>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13"/>
            <w:vMerge w:val="continue"/>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4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Exhibits, Financial Statements and Financial Statement Schedule</w:t>
            </w:r>
          </w:p>
        </w:tc>
        <w:tc>
          <w:tcPr>
            <w:tcW w:w="4480" w:type="dxa"/>
            <w:vAlign w:val="bottom"/>
            <w:gridSpan w:val="6"/>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3140" w:type="dxa"/>
            <w:vAlign w:val="bottom"/>
            <w:gridSpan w:val="13"/>
          </w:tcPr>
          <w:p>
            <w:pPr>
              <w:spacing w:after="0"/>
              <w:rPr>
                <w:sz w:val="18"/>
                <w:szCs w:val="18"/>
                <w:color w:val="auto"/>
              </w:rPr>
            </w:pPr>
          </w:p>
        </w:tc>
        <w:tc>
          <w:tcPr>
            <w:tcW w:w="4480" w:type="dxa"/>
            <w:vAlign w:val="bottom"/>
            <w:gridSpan w:val="6"/>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gridSpan w:val="21"/>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(the "Exchange Act"). We intend for such forward-looking statements to be covered by the safe harbor provisions for forward-looking statements contained in the Private Securities Litigation Reform Act of 1995. Forward-looking statements are based on certain assumptions and describe our future plans, strategies and expectations, and are generally identifiable by use of the words "believe," "expect," "plan," "intend," "anticipate," "estimate," "project," "seek," "target," "potential," "focus," "may," "will," "should" or similar words. Although we believe the expectations reflected in forward-looking statements are based upon reasonable assumptions, we can give no assurance that our expectations will be attained or that results will not materially differ.</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could have a materially adverse effect on our operations and future prospects include, but are not limited to:</w:t>
      </w:r>
    </w:p>
    <w:p>
      <w:pPr>
        <w:spacing w:after="0" w:line="168" w:lineRule="exact"/>
        <w:rPr>
          <w:sz w:val="20"/>
          <w:szCs w:val="20"/>
          <w:color w:val="auto"/>
        </w:rPr>
      </w:pPr>
    </w:p>
    <w:p>
      <w:pPr>
        <w:ind w:left="660" w:right="20" w:hanging="328"/>
        <w:spacing w:after="0" w:line="27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international, regional and local economic conditions generally, and real estate markets specifically</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including impacts and uncertainties arising from trade disputes and tariffs on goods imported to or exported from the United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legislation/regulation (including laws governing the taxation of real estate investment trusts) and actions of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status as a real estate investment trust;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attractiveness of financing (including both public and private capital), increases in or prolonged periods of elevated interest rates, and our ability to raise equity capital on attractive terms;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attractiveness of terms of debt repurchases;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credit agency ratings;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financial covenants;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in which we operate, including changes in supply, demand and valuation of industrial properties and land in our current and potential markets;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acquire, develop and/or manage properties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dispose of properties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properties;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relating to environmental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or non-renewal of leases by our tenants;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rental rates or increases in vacancy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real estate construction costs and delays in development or lease-up timelines;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economic impacts of pandemics, epidemics or other public health emergencies or fear of such events;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cybersecurity breaches, cyberattacks, intrusions or other significant disruptions of our information technology networks or systems;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natural disasters and other catastrophic events, including 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unavailable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particularly those affecting supply chains and logistics;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including costs associated with prosecuting or defending claims and potential adverse outcomes;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investments in joint ventures, including our lack of sole decision-making authority;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Item 1A, "Risk Factors" and elsewhere in this report, as well as those risks and uncertainties discussed from time to time in our other Exchange Act reports and public filings with the Securities and Exchange Commission (the "SEC").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caution you not to place undue reliance on forward-looking statements, which reflect our outlook only and speak only as of the date of this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assume no obligation to update or supplement forward-looking statements except as may be required by law.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First Industrial Realty Trust, Inc. is a self-administered and fully integrated real estate company which owns, manages, acquires, sells, develops and redevelops industrial real estate. The Company is a Maryland corporation organized on August 10, 1993 and a real estate investment trust ("REIT") as defined in the Internal Revenue Code of 1986 (the "Code"). As of December 31, 2025, our in-service portfolio consisted of 414 industrial properties, located in 19 states, containing an aggregate of approximately 69.9 million square feet of gross leasable area ("GLA").</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began operations on July 1, 1994. The Company's operations are conducted primarily through the Operating Partnership, a Delaware limited partnership formed on November 23, 1993 of which the Company is the sole general partner (the "General Partner"), with an approximate 97.0% ownership interest ("General Partner Units") at December 31, 2025. The Operating Partnership also conducts operations through several other limited partnerships (the "Other Real Estate Partnerships"), numerous limited liability companies ("LLCs") and certain taxable REIT subsidiaries ("TRSs"), the operating data of which, together with that of the Operating Partnership, is consolidated with that of the Company as presented herein. The Operating Partnership holds at least a 99% limited partnership interest in each of the Other Real Estate Partnerships. The general partners of the Other Real Estate Partnerships are separate corporations, wholly-owned by the Company, each with at least a .01% general partnership interest in the Other Real Estate Partnerships. The Company does not have any significant assets or liabilities other than its investment in the Operating Partnership and its 100% ownership interest in the general partners of the Other Real Estate Partnerships. The noncontrolling interest in the Operating Partnership of approximately 3.0% at December 31, 2025, represents the aggregate partnership interest held by the limited partners thereof ("Limited Partner Units" and together with the General Partner Units, the "Units").</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Through a wholly-owned TRS of the Operating Partnership, we own an equity interest in a joint venture (the "Joint Venture"). We also provide various services to the Joint Venture. The Joint Venture is accounted for under the equity method of accounting. The operating data of the Joint Venture is not consolidated with that of the Company or the Operating Partnership as presented herein. During the year ended December 31, 2025, the Joint Venture sold its remaining real estate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Growth Plans</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fundamental business objective is to maximize the total return to the Company's stockholders and the Operating Partnership's partners by increasing our cash flow and property values. Our long-term business growth plans include the following elements:</w:t>
      </w:r>
    </w:p>
    <w:p>
      <w:pPr>
        <w:spacing w:after="0" w:line="106" w:lineRule="exact"/>
        <w:rPr>
          <w:sz w:val="20"/>
          <w:szCs w:val="20"/>
          <w:color w:val="auto"/>
        </w:rPr>
      </w:pPr>
    </w:p>
    <w:p>
      <w:pPr>
        <w:jc w:val="both"/>
        <w:ind w:left="98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Growth. </w:t>
      </w:r>
      <w:r>
        <w:rPr>
          <w:rFonts w:ascii="Times New Roman" w:cs="Times New Roman" w:eastAsia="Times New Roman" w:hAnsi="Times New Roman"/>
          <w:sz w:val="18"/>
          <w:szCs w:val="18"/>
          <w:color w:val="auto"/>
        </w:rPr>
        <w:t>We seek to grow internally by: (i) increasing revenues by renewing or re-leasing expiring leases at higher rental levels;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contractual rent escalations on our long-term leases; (iii) increasing occupancy at properties with existing vacancies while maintaining high occupancy across the remainder of the portfolio; (iv) controlling and minimizing property operating expenses, general and administrative expenses and releasing costs; and (v) selectively renovating existing properties.</w:t>
      </w:r>
    </w:p>
    <w:p>
      <w:pPr>
        <w:spacing w:after="0" w:line="1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External Growth. </w:t>
      </w:r>
      <w:r>
        <w:rPr>
          <w:rFonts w:ascii="Times New Roman" w:cs="Times New Roman" w:eastAsia="Times New Roman" w:hAnsi="Times New Roman"/>
          <w:sz w:val="18"/>
          <w:szCs w:val="18"/>
          <w:color w:val="auto"/>
        </w:rPr>
        <w:t>We seek to grow externally through: (i) the development of best-in-class industrial properties and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assets, portfolios of industrial properties and leased land sites that meet our investment parameters within our 15 key logistics markets; and (ii) the expansion and redevelopment of our existing properties.</w:t>
      </w:r>
    </w:p>
    <w:p>
      <w:pPr>
        <w:spacing w:after="0" w:line="11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Enhancement. </w:t>
      </w:r>
      <w:r>
        <w:rPr>
          <w:rFonts w:ascii="Times New Roman" w:cs="Times New Roman" w:eastAsia="Times New Roman" w:hAnsi="Times New Roman"/>
          <w:sz w:val="18"/>
          <w:szCs w:val="18"/>
          <w:color w:val="auto"/>
        </w:rPr>
        <w:t>We continually seek to upgrade our overall portfolio by making new investments and selling assets that lack strong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cash flow growth potential. Our investment focus is on 15 key logistics markets which exhibit desirable long-term growth characteristics and where developable land is relatively scarce.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ability to pursue our long-term growth plans is affected by market conditions and our financial condition and operating capabilities. See "Summary of 2025" under Item 7, "Management's Discussion and Analysis of Financial Condition and Results of Operations" for a summary of significant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utilize the following strategies in connection with the operation of our business:</w:t>
      </w:r>
    </w:p>
    <w:p>
      <w:pPr>
        <w:spacing w:after="0" w:line="169" w:lineRule="exact"/>
        <w:rPr>
          <w:sz w:val="20"/>
          <w:szCs w:val="20"/>
          <w:color w:val="auto"/>
        </w:rPr>
      </w:pPr>
    </w:p>
    <w:p>
      <w:pPr>
        <w:jc w:val="both"/>
        <w:ind w:left="980" w:hanging="324"/>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Strategy. </w:t>
      </w:r>
      <w:r>
        <w:rPr>
          <w:rFonts w:ascii="Times New Roman" w:cs="Times New Roman" w:eastAsia="Times New Roman" w:hAnsi="Times New Roman"/>
          <w:sz w:val="18"/>
          <w:szCs w:val="18"/>
          <w:color w:val="auto"/>
        </w:rPr>
        <w:t>We employ a decentralized property operations strategy through the deployment of experienced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teams and local property managers. Our headquarters in Chicago, Illinois provides acquisition, development and financing assistance, asset management oversight and financial reporting functions to our regional operations. We believe the size of our portfolio enables us to realize operating efficiencies by spreading overhead costs among many properties and by negotiating favorable terms and purchasing discounts.</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Strategy. </w:t>
      </w:r>
      <w:r>
        <w:rPr>
          <w:rFonts w:ascii="Times New Roman" w:cs="Times New Roman" w:eastAsia="Times New Roman" w:hAnsi="Times New Roman"/>
          <w:sz w:val="18"/>
          <w:szCs w:val="18"/>
          <w:color w:val="auto"/>
        </w:rPr>
        <w:t>Our market strategy focuses on 15 key logistics markets in the United States. These markets exhibit one or more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characteristics: (i) favorable industrial real estate fundamentals, including improving industrial demand and constrained future supply that can lead to long-term rent growth; (ii) favorable and diversified economic and business environments that should benefit from increases in distribution activity driven by growth in global trade and local consumption; (iii) population growth, which generally drives industrial demand; (iv) natural barriers to entry and scarcity of land which are key elements in delivering future rent growth; (v) sufficient market size to provide ample opportunity for growth through incremental investments and support asset liquidity; and (vi) favorable governmental, regulatory and tax environment.</w:t>
      </w:r>
    </w:p>
    <w:p>
      <w:pPr>
        <w:spacing w:after="0" w:line="12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Leasing and Marketing Strategy. </w:t>
      </w:r>
      <w:r>
        <w:rPr>
          <w:rFonts w:ascii="Times New Roman" w:cs="Times New Roman" w:eastAsia="Times New Roman" w:hAnsi="Times New Roman"/>
          <w:sz w:val="18"/>
          <w:szCs w:val="18"/>
          <w:color w:val="auto"/>
        </w:rPr>
        <w:t>We utilize an operational management strategy designed to enhance tenant satisfaction and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We pursue an active leasing strategy that includes broadly marketing available space, seeking to renew existing leases at higher rents while minimizing re-leasing costs and seeking leases which provide for the pass-through of property-related expenses to the tenant. Additionally, we have both local and national marketing programs that target the business and real estate brokerage communities, as well as multi-national tenants.</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Acquisition/Development Strategy. </w:t>
      </w:r>
      <w:r>
        <w:rPr>
          <w:rFonts w:ascii="Times New Roman" w:cs="Times New Roman" w:eastAsia="Times New Roman" w:hAnsi="Times New Roman"/>
          <w:sz w:val="18"/>
          <w:szCs w:val="18"/>
          <w:color w:val="auto"/>
        </w:rPr>
        <w:t>Our investment strategy is primarily focused on developing and acquiring industrial properties in 15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markets in the United States through the deployment of experienced regional management teams. When evaluating potential industrial property acquisitions and developments, we consider such factors as: (i) the geographic area and type of property; (ii) the location, construction quality, functionality, condition and design of the property; (iii) the terms and credit quality of tenant leases, including the potential for rent rate growth; (iv) the potential for economic growth and the general business, tax and regulatory environment of the surrounding area; (v) the occupancy and demand by tenants for properties of a similar type in the vicinity; (vi) competition from existing properties and the potential for the construction of new properties in the area; (vii) the potential for capital appreciation of the property; (viii) the ability to improve the property's performance through renovation; and (ix) the potential for physical expansion of the property and/or additional sites.</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Disposition Strategy. </w:t>
      </w:r>
      <w:r>
        <w:rPr>
          <w:rFonts w:ascii="Times New Roman" w:cs="Times New Roman" w:eastAsia="Times New Roman" w:hAnsi="Times New Roman"/>
          <w:sz w:val="18"/>
          <w:szCs w:val="18"/>
          <w:color w:val="auto"/>
        </w:rPr>
        <w:t>We continually evaluate local market conditions and property-related factors across all of our markets to identify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suitable for disposition. Our focus is on selling properties with lower rent growth potential or that lack optimal functionality. The capital from these sales is generally reinvested in new assets consistent with our investment strategy or otherwise used in a manner consistent with our business strategy.</w:t>
      </w:r>
    </w:p>
    <w:p>
      <w:pPr>
        <w:spacing w:after="0" w:line="125"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Strategy. </w:t>
      </w:r>
      <w:r>
        <w:rPr>
          <w:rFonts w:ascii="Times New Roman" w:cs="Times New Roman" w:eastAsia="Times New Roman" w:hAnsi="Times New Roman"/>
          <w:sz w:val="18"/>
          <w:szCs w:val="18"/>
          <w:color w:val="auto"/>
        </w:rPr>
        <w:t>To finance acquisitions, developments and debt maturities, as market conditions permit, we may utilize proceeds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sales, unsecured debt offerings, term loans, mortgage financings and borrowings under our $850.0 million unsecured revolving credit agreement (the "Unsecured Credit Facility"), and proceeds from the issuance, when and as warranted, of additional equity securities. We also periodically evaluate joint venture arrangements as another source of capital to finance acquisitions and developments as well as manage investment exposure and allocation. As of February 11, 2026, we had approximately $726.9 million available for additional borrowings under the Unsecured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industrial properties and land for development, we compete with other publicly traded industrial REITs, income-oriented non-traded REITs, private real estate funds and other real estate investors and developers, some of which have greater financial resources or other competitive advantages. Such competition may increase acquisition prices or cause us to forgo investments that would otherwise meet our investment criteria. Additionally, we face significant competition in leasing available properties to prospective tenants and in renewing leases with existing tenants. As a result, we may need to offer rent concessions, incur tenant improvement costs or provide other inducements to timely lease vacant space, all of which may have an adverse impact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in the jurisdictions in which we operate, including laws and regulations relating to environmental protection and human health and safety. Compliance with these laws and regulations has not had, and is not expected to have, a material effect on our capital expenditures, results of operations and competitive position as compared to prior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Governance</w:t>
      </w:r>
    </w:p>
    <w:p>
      <w:pPr>
        <w:spacing w:after="0" w:line="162"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We are focused on building and maintaining a socially responsible and sustainable business that delivers long-term value to our stockholders. We foster a culture of sustainability throughout our operations aligned with our long-term objectives, which includes consideration of ways to minimize environmental impact, both ours and that of our tenants. We have an established committee (the "Corporate Responsibility Committee") composed of team members from diverse functions within the Company. The Corporate Responsibility Committee advises senior management, the Audit Committee and the Board of Directors on key matters related to sustainability, social responsibility and other non-financial issues that are significant to us and our stockholders.</w:t>
      </w:r>
    </w:p>
    <w:p>
      <w:pPr>
        <w:spacing w:after="0" w:line="14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Given that we primarily operate under net lease arrangements where tenants are ultimately responsible for maintaining the leased properties, one of our primary corporate responsibility priorities is to engage with and encourage our tenants to implement environmentally sustainable practices, such as the use of energy and water efficient fixtures and recycling programs. Additionally, when acquiring new properties or enhancing existing facilities, we place a strong emphasis on environmental sustainability. Many of our recent development projects have achieved LEED certification, and we are actively pursuing LEED certification for all upcoming development projects through a LEED volume program. We extend the same commitment to environmental excellence to our own offices, promoting sustainable practices and energy efficiency that can both reduce environmental impact and achieve lower operating costs. Our headquarters office in Chicago is an energy-efficient LEED-certified building.</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Social responsibility is integral to our business strategy. We strive to develop and maintain strong relationships with our customers, business partners, investors, and the communities in which we operate and invest.</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corporate governance efforts are led by our Board of Directors, who are elected by our stockholders to oversee the long-term financial strength and overall success of the Company, exercising its members' business judgment using their collective experience, knowledge and skills. Directors fulfill their responsibilities as members of the Board of Directors consistent with their fiduciary duty to our stockholders, in compliance with all applicable laws and regulations and our Code of Business Conduct and Ethics. The Board of Directors provides advice and counsel to the Chief Executive Officer and other senior officers of the Company, ensuring that the Company's assets are properly safeguarded, robust financial and operational controls are maintained, and that the Company's business is conducted wisely and in compliance with applicable laws and regulations.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We believe our human capital resources are well-aligned to successfully operate our business and create long-term value for our shareholders. As of December 31, 2025, we had 152 employees, 151 of whom are full-time employees. The average tenure of our workforce is approximately 12 years.</w:t>
      </w:r>
    </w:p>
    <w:p>
      <w:pPr>
        <w:spacing w:after="0" w:line="13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are an equal opportunity employer and, as such, promote an equitable workplace that acknowledges and values differences in race, gender, age, ethnicity, sexual orientation, gender identity, national origin, abilities and religious beliefs, consistent with applicable laws. We apply these policies throughout our organization, including at the senior management level and in our composition of our Board of Directors. We believe such diversity of experience and background helps make us strong and achieve our mission to create long-term shareholder value by providing industrial real estate solutions that mutually benefit our customers and our stockholders.</w:t>
      </w:r>
    </w:p>
    <w:p>
      <w:pPr>
        <w:spacing w:after="0" w:line="1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managing our business, we focus on attracting and retaining employees by providing compensation and benefits packages that are competitive within the applicable market, taking into account the skills required, responsibilities and geographic location. All employees are eligible to participate in one of our incentive plans, under which payments are tied to pre-established performance goals. In addition, we endeavor to develop each of our employees’ skillsets and decision-making abilities through challenging project assignments, formal training, mentorship and recognition. Taken together, these efforts promote higher levels of satisfaction and employee retention, while creating an enhanced leadership pipeline.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executive offices are located at One North Wacker Drive, 42nd Floor, Chicago, Illinois 60606. Our telephone number is (312) 344-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4300.</w:t>
      </w:r>
    </w:p>
    <w:p>
      <w:pPr>
        <w:spacing w:after="0" w:line="15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these reports are available without charge on our website at www.firstindustrial.com. These reports can also be accessed through the SEC's website at www.sec.gov. In addition, our Corporate Governance Guidelines, Code of Business Conduct and Ethics, charters of each committee of the Board of Directors, and supplemental financial and operating information are available without charge on our website or upon request. Amendments to, or waivers from, our Code of Business Conduct and Ethics that apply to our executive officers or directors will also be posted on our website. The information found on, or otherwise accessible through our website, is not incorporated into, and does not form a part of, this report or any other report or document we file with or furnish to the SEC.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operations involve various risks that could adversely affect our business, including our financial condition, our results of operations, our cash flow, our liquidity, our ability to make distributions to our stockholders and unitholders, the market price of the Company's common stock and the market value of the Units. These risks, among others contained in our other filings with the SEC, include: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171"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estate investments fluctuate in value depending on conditions in the general economy and the real estate industry. These conditions may limit our revenues and available cash.</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factors that affect the value of our real estate and the revenues we derive from our properties include, among other things:</w:t>
      </w:r>
    </w:p>
    <w:p>
      <w:pPr>
        <w:spacing w:after="0" w:line="10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regional, national and international economic conditions and other events and occurrences that affect the markets in which we own properties;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conditions such as oversupply or a reduction in demand;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labor and material costs;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collect on a timely basis all rents from tenants;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tenant operations, real estate needs and credit;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financing;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or other legislative and regulatory restrictions;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available real estate;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including maintenance, insurance premiums and real estate taxes;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beyond our control.</w:t>
      </w:r>
    </w:p>
    <w:p>
      <w:pPr>
        <w:spacing w:after="0" w:line="15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investments in real estate assets are concentrated in the industrial sector, and the demand for industrial space in the United States is related to the level of economic output. Accordingly, reduced economic output may lead to lower occupancy rates for our properties. In addition, if any of our tenants experiences a downturn in its business that weakens its financial condition, delays lease commencement, fails to make rental payments when due, becomes insolvent or declares bankruptcy, the result could be a termination of the tenant's lease, which could adversely affect our cash flow from operations. These factors may be amplified by a disruption of financial markets or more general economic conditions.</w:t>
      </w:r>
    </w:p>
    <w:p>
      <w:pPr>
        <w:spacing w:after="0" w:line="125" w:lineRule="exact"/>
        <w:rPr>
          <w:sz w:val="20"/>
          <w:szCs w:val="20"/>
          <w:color w:val="auto"/>
        </w:rPr>
      </w:pPr>
    </w:p>
    <w:p>
      <w:pPr>
        <w:ind w:right="40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economic conditions and other events or occurrences that affect areas in which our properties are geographically concentrated may impact financial results.</w:t>
      </w:r>
    </w:p>
    <w:p>
      <w:pPr>
        <w:spacing w:after="0" w:line="10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exposed to the economic conditions and other events and occurrences in the local, regional and national geographies in which we own properties. We are also impacted by global events and occurrences. Our operating performance is further impacted by the economic conditions of the specific markets in which we have concentrations of properties.</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At December 31, 2025, operating properties located in California (Northern California and Southern California markets) and Pennsylvania, our two largest regions, represented 26.3% and 11.4%, respectively, of our consolidated net operating income for the year ended December 31, 2025. The revenues generated from, and the value of, these properties are subject to local real estate conditions, such as oversupply or reduced demand for industrial properties, as well as the local economic climate. Factors like business layoffs, industry slowdowns, demographics shifts and other economic changes may adversely impact the economies of California and Pennsylvania. Given our significant investments in these states, any economic downturn in the economy or unfavorable changes in the real estate market dynamics, including changes to state income tax and property tax laws, could adversely affect our business.</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Additionally, we own properties situated in and around ports, making them susceptible to fluctuations in trade activity. Changes and/or anticipated changes in tariffs, trade policies, labor disruptions and other economic factors could reduce tenant demand for storage of imported goods in our facilities. This may lead to higher market vacancies, downward pressure on rental rates and potential declines in property value.</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operating performance could be adversely affected if market conditions deteriorate in any of the markets in which we have a concentration of properties. Factors such as an oversupply of logistics space or a reduction in demand for such space, among other factors, may negatively impact operating conditions. Any material oversupply of logistics space or material reduction in demand for logistics space could adversely affect our overall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disputes, including U.S. trade tariffs and retaliatory tariffs, could adversely impact our business.</w:t>
      </w:r>
    </w:p>
    <w:p>
      <w:pPr>
        <w:spacing w:after="0" w:line="162"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Ongoing international trade disputes, including threatened or implemented tariffs and other measures employed by the U.S. and its trading partners continue to create uncertainty and potential disruption across supply chains. Many of our tenants rely on imported goods or components, and increased trade barriers could increase their costs. To the extent our tenants are unable to pass these costs on to their customers, our tenants could be adversely impacted, which in turn could impact their ability to meet lease obligations.</w:t>
      </w:r>
    </w:p>
    <w:p>
      <w:pPr>
        <w:spacing w:after="0" w:line="127"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In addition, international trade disputes, including those related to tariffs, could result in inflationary pressures that directly impact our costs, such as construction materials and equipment used in our development and redevelopment projects. Persistent supply-chain disruptions could delay project timelines or elevate capital expenditures. Because global trade policy remains fluid and subject to rapid change, additional tariffs, restrictions, or retaliatory actions could further impact our tenants, operations, and financial results.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real estate costs are fixed, even if income from properties decreases.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financial results depend on leasing space to tenants on terms favorable to us. Our income and funds available for distribution to our stockholders and unitholders will decrease if a significant number of our tenants cannot pay their rent or we are unable to lease properties on favorable terms. In addition, if a tenant defaults on its rent payments or declares bankruptcy, we may face delays in enforcing our rights as a landlord and incur substantial legal costs. Costs associated with real property, such as real estate taxes and maintenance, generally are not reduced when income from the property declines. Tenant bankruptcies can further exacerbate these challenges by limiting our remedies and potentially resulting in the rejection of leases, negatively affecting our financial results.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or find other tenants on advantageous terms or at all.</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are subject to the risk that expiring leases may not be renewed, or the spaces subject to such leases may not be relet or the terms of renewal or reletting, including the cost of required renovations, may be less favorable than the expiring lease terms. If we are unable to promptly renew a significant number of expiring leases or to relet the spaces at competitive rental rates, our financial condition, results of operation, cash flow and ability to make distributions to our stockholders and unitholders could be adversely affected. Furthermore, such challenges could negatively impact the market price of the Company's common stock and the market value of the Units.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acquire real estate on advantageous terms or acquisitions may not perform as we expect.</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part of our investment strategy, we routinely acquire real estate from third parties and we intend to continue to do so. However, the acquisition of properties entails various risks, including risks that our investments may not perform as expected and that our cost estimates for bringing an acquired property up to market standards, if necessary, may prove inaccurate. Further, we face significant competition for attractive investment opportunities from real estate investors who may be well-capitalized or have other competitive advantages, including publicly-traded REITs and private investors. This competition increases when real estate investments are perceived as more attractive relative to other asset classes. Consequently, we may be unable to acquire additional real estate and purchase prices may increase.</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Future acquisitions are expected to be funded through a combination of sources, including borrowings under the Unsecured Credit Facility, proceeds from equity or debt offerings, debt originations, and property sales. However, these funding sources may not always be available on acceptable terms or at all, which could limit our ability to pursue new opportunities.</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Moreover, properties are often sold "as is," "where is," and "with all faults," without any warranties of merchantability or fitness for a particular use or purpose. In addition, purchase agreements may contain only limited warranties, representations and indemnifications that will only survive for a limited period after the closing. As a result, we face heightened risk of unanticipated issues, including potential loss of invested capital or rental income from such properties.</w:t>
      </w:r>
    </w:p>
    <w:p>
      <w:pPr>
        <w:spacing w:after="0" w:line="12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These risks, individually or collectively, could adversely affect our financial condition, results of operations, cash flow and ability to make distributions to our stockholders and unitholders, the market price of the Company's common stock and the market value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sell properties when appropriate or at all because real estate investments are not as liquid as certain other types of assets.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Real estate assets are inherently less liquid than other types of investments, which could limit our ability to adjust our property portfolio in response to changes in economic conditions or portfolio performance. This limitation could adversely affect our financial condition, ability to service debt and capacity to make distributions to our stockholders and unitholders. In addition, as a REIT, our ability to sell properties is further restricted by tax laws, including punitive taxation on asset sales that fail to meet safe harbor rules or other established criteria.</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sell properties on advantageous terms.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sell properties from time to time to third parties as market conditions warrant and we intend to continue doing so. However, our ability to sell properties on advantageous terms depends on factors beyond our control, including competition from other sellers and the availability of attractive financing for potential buyers. If we are unable to sell properties on favorable terms or to redeploy the proceeds in accordance with our business strategy, then our financial condition, results of operations, cash flow and ability to make distributions to our stockholders and unitholders, the market price of the Company's common stock and the market value of the Units could be adversely affected. Further, if we provide financing to purchasers as part of a sale, defaults by the purchasers could further harm our operations and financial condition.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complete development and re-development projects on advantageous terms.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part of our business, we develop new properties and re-develop existing properties, both of which carry significant risks, including:</w:t>
      </w:r>
    </w:p>
    <w:p>
      <w:pPr>
        <w:spacing w:after="0" w:line="17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financing for these projects on favorable terms or within desired timeframes;</w:t>
      </w:r>
    </w:p>
    <w:p>
      <w:pPr>
        <w:spacing w:after="0" w:line="15" w:lineRule="exact"/>
        <w:rPr>
          <w:rFonts w:ascii="Times New Roman" w:cs="Times New Roman" w:eastAsia="Times New Roman" w:hAnsi="Times New Roman"/>
          <w:sz w:val="18"/>
          <w:szCs w:val="18"/>
          <w:color w:val="auto"/>
        </w:rPr>
      </w:pPr>
    </w:p>
    <w:p>
      <w:pPr>
        <w:ind w:left="980" w:right="680" w:hanging="324"/>
        <w:spacing w:after="0" w:line="233"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construction materials, or cost overruns may occur due to inflationary pressures, supply chain disruptions, or increased material costs, including those driven by tariffs or other trade-related factors;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complete construction on schedule or within budget;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may experience delays in obtaining necessary zoning, land-use, building, occupancy and other governmental permits and authorizations;</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and subcontractor disputes, strikes, labor shortages, or supply chain disruptions may occur;</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subcontractors, or design professionals may cause damage, design errors or other negligent actions with respect to our properties; and</w:t>
      </w:r>
    </w:p>
    <w:p>
      <w:pPr>
        <w:ind w:left="980" w:hanging="324"/>
        <w:spacing w:after="0" w:line="26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may perform below anticipated levels, producing cash flow below budgeted amounts, which could lead to unprofitable investments or limit our ability to sell such properties.</w:t>
      </w:r>
    </w:p>
    <w:p>
      <w:pPr>
        <w:spacing w:after="0" w:line="1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To the extent these risks result in increased debt service expense, higher construction costs or delays in budgeted leasing, they could adversely affect our financial condition, results of operations, cash flow and ability to make distributions to our stockholders and unitholders, as well as the market price of the Company's common stock and the market value of the Units.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incur unanticipated costs and liabilities due to environmental problems.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Under various federal, state and local laws and regulations, we may be liable, as a current or previous owner, developer or operator of real estate, for the costs of cleaning up hazardous or toxic materials found on, in or emanating from a property as well as for any related damages to natural resources. These laws and regulations may impose liability without regard to whether the owner or operator knew of, or was responsible for, the presence of hazardous or toxic materials. The presence of such materials, or the failure to properly address the conditions, may adversely affect our ability to rent, sell or finance a property or to use it as collateral for indebtedness. In addition, we may be held liable for clean-up costs or natural resource damages stemming from the treatment or disposal of hazardous materials at off-site facilities, even if the facility is not owned or operated by us. No assurance can be given that environmental assessments performed with respect to our properties have identified all existing or potential environmental liabilities, that prior owners or operators did not create undiscovered environmental conditions, or that such conditions will not arise in the future. Moreover, we cannot predict whether changes to environmental laws and regulations, or their interpretation or enforcement, will result in material environmental liabilities, or whether our properties may be adversely affected by nearby activities or conditions beyond our control, such as underground storage tank leaks or releases by unrelated third parties.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the time of acquisition, all of our properties are subject to a Phase I or similar environmental assessment conducted by an independent consultant. These assessments are intended to identify recognized environmental conditions associated with the surveyed property and surrounding areas but typically do not include soil sampling, subsurface investigation, remediation or asbestos surveys. While some assessments have led to further investigation and sampling, none have identified material environmental liabilities that we believe, individually or in the aggregate, would adversely affect our business, financial condition or results of operations. However, we cannot give any assurance that such conditions do not exist or may not arise in the future.</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Environmental laws and regulations in the U.S. also impose obligations on building owners or operators regarding the management of asbestos-containing materials, including requirements for handling, disclosure, and abatement during renovation or demolition, as well as penalties for non-compliance. In addition, third parties may also seek recovery for asbestos-related injuries. Some of our properties may contain asbestos-containing building materials.</w:t>
      </w:r>
    </w:p>
    <w:p>
      <w:pPr>
        <w:spacing w:after="0" w:line="12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maintain a portfolio-level environmental insurance policy intended to address certain unknown environmental liabilities; however coverage is under this policy is subject to policy terms, conditions and limitations, may not be sufficient to cover all potential losses and may not be available on commercially reasonable terms, or at all, upon renewal. From time to time, we may acquire properties or interests in properties, with known adverse environmental conditions where we believe the associated risks and costs are quantifiable and the acquisition will yield a superior risk-adjusted return. In such cases, we underwrite the costs of environmental investigation, remediation and monitoring costs in the purchase price. Additionally, in connection with certain property dispositions, we may agree to retain responsibility for certain environmental conditions, including costs associated with monitoring and/or remediating such conditions.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to comply with various federal, state and local laws and regulations applicable to our properties.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properties are subject to various federal, state and local laws and regulations, including, without limitation, those related to zoning, zoning moratoria, the Americans with Disabilities Act of 1990 (the "ADA"), fire and safety regulations, and greenhouse gas emissions. Compliance with these laws and regulations may require us to make substantial improvements or capital expenditures, or implement operational changes, and we may not be able to effectively pass these costs on to our tenants. Failure to comply with applicable laws and regulations could result in fines, penalties, or the award of damages or attorneys’ fees to private litigants. In addition, compliance obligations imposed on our tenants could adversely affect their financial condition and ability to meet their lease obligations, which could negatively impact leasing or re-leasing our properties. There can be no assurance that existing laws and regulatory policies will not adversely affect us or the timing or cost of any future acquisitions or renovations, or that additional laws or regulations will not be adopted that increase delays or result in additional costs. If we incur substantial compliance-related costs, our financial condition, results of operations, cash flow, ability to satisfy debt service obligations and to make distributions to our stockholders and unitholders, the market price of the Company's common stock and the market value of the Units could be adversely affected.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Adverse market and economic conditions could result in impairment charges.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regularly review our real estate assets for impairment indicators, such as declines in occupancy rates, deteriorating market conditions or changes in the anticipated holding period of a property. If such indicators are present, we assess whether the carrying value of any asset is recoverable, which may require us to recognize an impairment charge. The determination of whether an impairment exists, and the amount of any such impairment, requires the exercise of significant judgment, including assumptions regarding future cash flows, capitalization rates and expected holding periods. These assumptions are inherently subjective and may differ from actual results. Changes in market conditions or in our expectations regarding a property could result in impairment charges in future periods. Any such impairment charges could materially and adversely affect our business, financial condition and results of operations.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and liabilities in connection with joint venture arrangements.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organizational documents do not limit the amount of funds that we may invest in joint ventures. We have entered into, and may in the future enter into, joint venture arrangements to acquire, own, develop and/or operate properties when we determine such arrangements to be appropriate. Investments in joint ventures involve risks that are not present when we operate properties independently, including: (i) joint venture partners may have approval or veto rights over major decisions, which could delay, restrict or prevent actions that we believe are necessary or advisable and could adversely affect our ability to develop, finance, lease or sell joint venture properties on a timely basis or on favorable terms, or at all; (ii) joint venture partners may experience financial distress or otherwise fail to fund their share of required capital contributions; (iii) joint venture partners may have economic, business or other objectives that differ from or conflict with ours, which could adversely affect the operation, management, financing or disposition of joint venture properties; (iv) joint venture partners may have the power to act contrary to our policies or objectives, including those necessary to maintain the Company's qualification as a REIT; (v)</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joint venture agreements typically restrict transfers of ownership interests and may limit our ability to sell our interest in a joint venture at a time or on terms that are favorable to us; (vi) disputes with joint venture partners may result in costly litigation or arbitration, increase our expenses, divert the attention of our employees, officers and directors from our business, and may subject the joint venture properties to additional risk; and (vii) in certain circumstances, we may be held liable for the actions or decisions of our joint venture partners.</w:t>
      </w:r>
    </w:p>
    <w:p>
      <w:pPr>
        <w:spacing w:after="0" w:line="12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these events could adversely affect our financial condition, results of operations, cash flow and ability to make distributions to our stockholders and unitholders, the market price of the Company's common stock and the market value of the Units.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own certain properties subject to ground leases that expose us to risks.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For certain of our properties, we own the building and other improvements but have leased the underlying land pursuant to a long-term ground lease. These arrangements expose us to unique risks, including the potential loss of our interest in the properties if we breach the terms of the ground leases, fail to extend or renew them, or if they are otherwise terminated. As the ground lease termination dates approach, the values of the properties could decline if extensions or renewals are not secured. Additionally, certain ground leases include annual payment escalations and/or periodic fair market value adjustments which could increase our lease obligations over time. These factors may adversely affect our financial condition, results of operations or ability to generate income from these properties.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impacts of adverse weather events and natural disasters.</w:t>
      </w:r>
    </w:p>
    <w:p>
      <w:pPr>
        <w:spacing w:after="0" w:line="25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portfolio is subject to the physical and financial risks of adverse weather events and natural disasters, particularly due to our significant investment in properties located in coastal markets, including Southern California, Northern California, Houston, Seattle and South Florida. These areas are also targeted markets for future growth. Properties in these regions are vulnerable to catastrophic weather and natural events, such as severe storms, drought, earthquakes, floods, freezes and wildfires. The frequency and severity of such events may continue to rise, potentially disrupting tenant operations, damaging our properties, increasing operating and capital costs and impairing tenants' ability to pay rent. Climate-related disruption could also adversely affect our ability to lease, develop or sell properties or to use them as collateral for financings.</w:t>
      </w:r>
    </w:p>
    <w:p>
      <w:pPr>
        <w:spacing w:after="0" w:line="21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While we maintain comprehensive insurance coverage to mitigate casualty risks, in amounts and of a kind that we believe are appropriate for the markets where our properties and their business operations are located, there is no assurance that insurance companies will continue to offer sufficient coverage or do so at commercially reasonable rates. Increases in insurance premiums, higher deductibles, reduced availability of coverage, or uninsured losses could materially affect our financial condition, results of operations, and cash flows. In addition, evolving regulatory requirements and market expectations related to environmental sustainability, energy efficiency, and greenhouse gas emissions may require additional capital investment or compliance costs that could affect our financial performance and operations.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cover all potential losses.</w:t>
      </w:r>
    </w:p>
    <w:p>
      <w:pPr>
        <w:spacing w:after="0" w:line="25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Real property is subject to casualty risk including damage, destruction, or loss caused by unusual, sudden and unexpected events. Some of our properties are located in geographic areas that are subject to increased risk of hurricanes, earthquakes, windstorms, wildfires and flooding. We maintain insurance coverage that we believe is customary and appropriate for the markets in which our properties and their business operations are located. Among other coverage, we carry property, boiler and machinery, general liability, cyber liability, fire, flood, terrorism, earthquake, windstorm, owner's protective professional indemnity and rental loss insurance.</w:t>
      </w:r>
    </w:p>
    <w:p>
      <w:pPr>
        <w:spacing w:after="0" w:line="21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insurance policies contain customary specifications and limits and do not insure the aggregate total replacement cost of our portfolio. We periodically evaluate our insurance limits, coverages and deductibles using industry-standard analysis and modeling. However, we do not insure against all types of casualty risks, and we may not fully insure against certain perils including earthquakes, windstorms, floods, pandemics, war, civil unrest and cyber events, either because such coverage is unavailable, subject to significant exclusions or limitations, or because we believe the costs of such coverage is not economically feasible or prudent.</w:t>
      </w:r>
    </w:p>
    <w:p>
      <w:pPr>
        <w:spacing w:after="0" w:line="21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Furthermore, we cannot be sure that insurance companies will continue to offer products with sufficient coverage at commercially reasonable rates. We may incur significant losses in the event of an uninsured or underinsured casualty, a loss in excess of policy limits, or a loss not paid due to insurer insolvency or coverage disputes. Such events could result in a significant loss of capital or revenues, and exposure to obligations under recourse debt associated with a property. Any of these outcomes could materially and adversely impact our financial condition, results of operations, and ability to meet our obligations.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and Capital Risks:</w:t>
      </w:r>
    </w:p>
    <w:p>
      <w:pPr>
        <w:spacing w:after="0" w:line="171"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financial markets could affect our ability to obtain financing and may negatively impact our liquidity, financial condition and operating results.</w:t>
      </w:r>
    </w:p>
    <w:p>
      <w:pPr>
        <w:spacing w:after="0" w:line="10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 significant portion of our existing indebtedness was issued through capital markets transactions, and we expect to rely on the capital markets to refinance this indebtedness in the future. However, volatility or disruption in these markets could limit our access to refinancing options. Periodic dislocations, price volatility, and liquidity disruptions in the capital and credit markets, both domestically and internationally, can materially impact market conditions, making financing terms less attractive, and in some cases, entirely unavailable. These challenges could also increase borrowing costs and limit our ability to refinance existing debt on favorable terms. Price volatility in the capital and credit markets could also make the valuation of our properties more difficult. There may be significant uncertainty in the valuation, or in the stability of the value, of our properties that could result in a substantial decrease in the value of our properties. As a result, we may not be able to recover the carrying amount of our properties, which may require us to recognize an impairment loss in earnings</w:t>
      </w:r>
      <w:r>
        <w:rPr>
          <w:rFonts w:ascii="Times New Roman" w:cs="Times New Roman" w:eastAsia="Times New Roman" w:hAnsi="Times New Roman"/>
          <w:sz w:val="18"/>
          <w:szCs w:val="18"/>
          <w:i w:val="1"/>
          <w:iCs w:val="1"/>
          <w:color w:val="auto"/>
        </w:rPr>
        <w:t>.</w:t>
      </w:r>
    </w:p>
    <w:p>
      <w:pPr>
        <w:spacing w:after="0" w:line="13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Additionally, adverse events in the banking or financial services sectors could directly or indirectly affect our liquidity. Events such as defaults, non-performance or limited liquidity at banks or financial institutions that hold our funds, or broader concerns affecting financial institutions, could expose us to risk. While we actively manage our relationships with financial institutions, we cannot guarantee that disruptions will not occur. Additionally, if any of our tenants or other parties with whom we conduct business are unable to access funds from their bank or financial institutions, such parties’ ability to pay their obligations to us could be adversely affected.</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Furthermore, our access to liquidity under our Unsecured Credit Facility depends on the continued performance of the participating lenders. If one or more lenders default on their commitments, our ability to borrow under this facility could be restricted. If our access to debt or equity securities or our ability to borrow under our Unsecured Credit Facility were impaired by volatility in or disruption of the capital markets, it could have a material adverse effect on our liquidity and financial condition.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 the degree of leverage and rising interest rates could reduce our cash flow.</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use debt to increase the returns to our stockholders and unitholders and to support investments that would otherwise be beyond our immediate financial capacity. However, this use of leverage presents additional risks, particularly if cash flow from our properties is insufficient to cover both debt payment obligations and the distribution requirements of the REIT provisions of the Code. In addition, increased interest rates would reduce our cash flow by increasing the amount of interest due on our floating rate debt and on our fixed rate debt as it matures and is refinanced. Our organizational documents do not contain any limitation on the amount or percentage of indebtedness we may incur.</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could limit our flexibility and adversely affect our financial condition.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terms of our agreements governing our indebtedness require that we comply with a number of financial and other covenants, such as maintaining debt service coverage and leverage ratios and maintaining insurance coverage. Complying with such covenants may limit our operational flexibility. A breach of any covenant, even if we have satisfied our payment obligations, could result in a default under the applicable debt agreement. Consistent with our historical practice, we intend to interpret and certify our performance under these covenants in a good faith manner that we deem reasonable and appropriate. However, these financial covenants are complex and there can be no assurance that these provisions would not be interpreted by the noteholders or lenders in a manner that could impose and cause us to incur material costs. Our ability to meet our financial covenants may be adversely affected if economic and credit market conditions limit our ability to reduce our debt levels consistent with, or result in net operating income below, our current expectations. Under our Unsecured Credit Facility and our unsecured term loans, an event of default can also occur if the lenders, in their good faith judgment, determine that a material adverse change has occurred that could prevent timely repayment or materially impair our ability to perform our obligations under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the event of default, we would be subject to higher finance costs and fees, and the lenders under our Unsecured Credit Facility would not be required to provide additional funding. In addition, our indebtedness, together with accrued and unpaid interest and fees, could be accelerated and declared immediately due and payable. Furthermore, our Unsecured Credit Facility, unsecured term loans and the indentures governing our senior unsecured notes contain cross-default provisions that may be triggered in the event that our other material indebtedness is in default. These cross-default provisions may require us to repay or restructure our Unsecured Credit Facility, our unsecured term loans or our senior unsecured notes (which includes our private placement notes), depending on which is in default, and such restructuring could adversely affect our financial condition, results of operations, cash flow and ability to make distributions to our stockholders and unitholders, the market price of the Company's common stock and the market value of the Units. If repayment of any of our indebtedness is accelerated, we cannot provide assurance that we would be able to borrow sufficient funds to refinance such indebtedness or that we would be able to sell sufficient assets to repay such indebtedness. Even if new financing is available, it may not be on commercially reasonable or acceptable terms.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our credit ratings could negatively impact our liquidity and business operations.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credit ratings, including those assigned to our senior unsecured notes, are based on various factors, such as our operating performance, liquidity and leverage ratios, overall financial position and other criteria utilized by the credit rating agencies in their analyses. These ratings can influence the availability, terms and pricing of any indebtedness we may incur, as well as preferred stock offerings we may issue going forward. There is no assurance that we will be able to maintain any credit rating and, in the event any credit rating is downgraded, or the perception that a downgrade is imminent, we could incur higher borrowing costs or may be unable to access certain or any capital markets.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REIT distribution requirements may limit our ability to retain capital and require us to turn to external financing sources.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a REIT, the Company must distribute at least 90% of its taxable income (determined without regard to the dividends-paid deduction and by excluding any net capital gain) to its stockholders annually, and we may be subject to additional tax to the extent our taxable income is not fully distributed. The Company could, in certain instances, have taxable income without sufficient cash to enable it to meet this requirement. In that situation, we could be required to borrow funds or sell properties on adverse terms in order to satisfy the distribution requirement.</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distribution requirement could also limit our ability to accumulate capital to provide capital resources for our ongoing business, and to satisfy our debt repayment obligations and other liquidity needs, we may be more dependent on outside sources of financing, such as debt financing or issuances of additional capital stock, which may or may not be available on favorable terms. Additional debt financings may substantially increase our leverage and additional equity offerings may result in substantial dilution of stockholders' and unitholders' interests.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have to make lump-sum payments on our existing indebtedness.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required to make lump-sum or "balloon" payments under the terms of some of our indebtedness. Our ability to make required payments of principal on outstanding indebtedness, whether at maturity or otherwise, may depend on our ability to refinance the applicable indebtedness or to sell properties. Currently, we have no commitments to refinance any of our indebtedness.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hedge effectively against interest rate changes may adversely affect our results of operations.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use derivatives to manage our exposure to interest rate volatility associated with our debt issuances, anticipated future debt issuances and variable rate borrowings. At times we may also use derivatives to increase our exposure to floating interest rates. There can be no assurance that these hedging arrangements will have the desired beneficial impact. These arrangements, which can include a number of counterparties, may expose us to additional risks, including failure of any of our counterparties to perform under these contracts, and may involve extensive costs, such as transaction fees or breakage costs, if we terminate them. Hedging may reduce the overall returns on our investments, which could reduce our cash available for distribution to our stockholders and unitholders. Failure to hedge effectively against interest rate changes may materially and adversely affect our financial condition, results of operations and cash flow. No strategy can completely insulate us from the risks associated with interest rate fluctuations.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 manage these risks, our Board of Directors oversees our use of derivative financial instruments. Our practice is to use derivatives solely to fix interest rates on anticipated debt offerings and manage variable rate borrowings, avoiding speculative or trading purposes. We intend to enter into contracts only with major financial institutions based on their creditworthiness, but these practices could change at the discretion of the Board of Directors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mortgages may impact our ability to sell encumbered properties on advantageous terms or at all.</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outstanding mortgage agreement contains, and some future mortgage agreements may contain, substantial prepayment premiums that we could reduce the net proceeds from the sale of the encumbered property. As a result, our willingness to sell certain properties and the price at which we may desire to sell a property may be impacted. If we are unable to sell properties on favorable terms or redeploy the sales proceeds in line with our business strategy, our financial condition, results of operations, cash flow and ability to make distributions to our stockholders and unitholders, the market price of the Company's common stock and the market value of the Units could be adversely affected.</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and cash dividends, asset value and market interest rates affect the price of the Company's common stock.</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market value of the Company's common stock is influenced by the Company's earnings, cash dividends, the market value its underlying real estate assets and market interest rates. For this reason, shares of the Company's common stock may trade at prices higher or lower than the Company's net asset value per share. To the extent that the Company retains operating cash flow for investment purposes, working capital reserves, or other purposes, these retained funds, while increasing the value of the Company's underlying assets, may not correspondingly increase the market price of its common stock. Additionally, the failure to meet market's expectations for earnings growth or dividends/distributions likely would adversely affect the market price of the Company's common stock. Further, the distribution yield on the common stock (as a percentage of the price of the common stock) relative to market interest rates may also influence the market price of the Company's common stock. An increase in market interest rates might lead investors to expect a higher distribution yield, which would adversely affect the market price of the Company's common stock. Any reduction in the market price of the Company's common stock would, in turn, reduce the market value of the Units.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may cause the market price of our common stock to decline.</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whether directly by us or in the secondary market, or the perception that such sales may occur, could materially and adversely affect the market price of our common stock. Similarly, the availability of future issuances of common stock, Limited Partnership Units or other securities convertible into or exercisable for common stock, could also depress the market price of our common stock. In addition, we may in the future issue capital stock senior to our common stock for various reasons, including to finance our operations and business strategy, to adjust our ratio of debt to equity or other strategic reasons. Such issuances could further impact the market price of our common stock and our ability to raise capital through common stock or other offerings.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many factors, including:</w:t>
      </w:r>
    </w:p>
    <w:p>
      <w:pPr>
        <w:spacing w:after="0" w:line="171" w:lineRule="exact"/>
        <w:rPr>
          <w:sz w:val="20"/>
          <w:szCs w:val="20"/>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actual or anticipated variations in our operating results, funds from operations, cash flows or liquidity;</w:t>
      </w:r>
    </w:p>
    <w:p>
      <w:pPr>
        <w:spacing w:after="0" w:line="27" w:lineRule="exact"/>
        <w:rPr>
          <w:rFonts w:ascii="Times New Roman" w:cs="Times New Roman" w:eastAsia="Times New Roman" w:hAnsi="Times New Roman"/>
          <w:sz w:val="18"/>
          <w:szCs w:val="18"/>
          <w:b w:val="1"/>
          <w:bCs w:val="1"/>
          <w:i w:val="1"/>
          <w:iCs w:val="1"/>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or those of analysts;</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asset valuations and related impairment charges;</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dividend policy;</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reports about us or the real estate industry generally;</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to meet rent obligations and our ability to re-lease space as leases expire;</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which may lead investors to demand a higher dividend yield;</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our debt levels, upcoming debt maturities, refinancing plans or anticipated debt incurrences;</w:t>
      </w:r>
    </w:p>
    <w:p>
      <w:pPr>
        <w:spacing w:after="0" w:line="9" w:lineRule="exact"/>
        <w:rPr>
          <w:rFonts w:ascii="Times New Roman" w:cs="Times New Roman" w:eastAsia="Times New Roman" w:hAnsi="Times New Roman"/>
          <w:sz w:val="18"/>
          <w:szCs w:val="18"/>
          <w:color w:val="auto"/>
        </w:rPr>
      </w:pPr>
    </w:p>
    <w:p>
      <w:pPr>
        <w:ind w:left="1300" w:hanging="239"/>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under our unsecured line of credit and the indentures under which our senior unsecured indebtedness is, or may be, issued;</w:t>
      </w: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media or investment community; and</w:t>
      </w:r>
    </w:p>
    <w:p>
      <w:pPr>
        <w:spacing w:after="0" w:line="9"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These factors, many of which outside our control, could cause the market price of our common stock to decline significantly, regardless of our financial condition, results of operations and future prospects. We cannot provide any assurance that the market price of our common stock will remain stable or not fall in the future, and it may be difficult for holders to resell shares of our common stock at prices they find attractive,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Organization and Structure: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Company's ability to issue preferred stock could adversely affect holders of the Company's common stock.</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declaration of trust authorizes the Company to issue up to 225,000,000 common shares and 10,000,000 shares of preferred stock. Subject to approval by the Company's Board of Directors, the Company may issue preferred stock with rights, preferences and privileges that are more beneficial than those of common stock. Holders of the Company's common stock do not have preemptive rights to acquire shares issued in the future. If the Company ever issues preferred stock with a distribution preference over common stock, funds available for the payment of distributions to our common stockholders and unitholders would be reduced. In addition, holders of preferred stock are normally entitled to receive a preference payment in the event of liquidation, dissolution or winding up, which would reduce the amount available to our common stockholders and unitholders. Furthermore, under certain circumstances, the issuance of preferred stock may delay or prevent a change in control of the Company, potentially limiting the ability of common stockholders to benefit from such a transaction.</w:t>
      </w:r>
    </w:p>
    <w:p>
      <w:pPr>
        <w:spacing w:after="0" w:line="134"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Board of Directors may change its strategies, policies or procedures without stockholder approval, which may subject us to different and more significant risks in the future.</w:t>
      </w:r>
    </w:p>
    <w:p>
      <w:pPr>
        <w:spacing w:after="0" w:line="10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investment, financing, leverage and distribution policies and our policies with respect to all other activities, including growth, debt, capitalization and operations, are determined by the Company's Board of Directors. These policies may be amended or revised at the discretion of the Company's Board of Directors at any time and without notice to or a vote of its stockholders. Such changes could result in us conducting operational matters or making investments differently or pursuing alternate business or growth strategies, potentially exposing ourselves to new and more significant risks. In addition, the Company's Board of Directors may change its governance policies, provided that such changes comply with applicable legal requirements. A change in these policies could have an adverse effect on our financial condition, results of operations, cash flow, ability to satisfy our principal and interest obligations, ability to make distributions to our stockholders and unitholders, the market price of the Company's common stock and the market value of the Units</w:t>
      </w:r>
      <w:r>
        <w:rPr>
          <w:rFonts w:ascii="Times New Roman" w:cs="Times New Roman" w:eastAsia="Times New Roman" w:hAnsi="Times New Roman"/>
          <w:sz w:val="18"/>
          <w:szCs w:val="18"/>
          <w:b w:val="1"/>
          <w:bCs w:val="1"/>
          <w:i w:val="1"/>
          <w:iCs w:val="1"/>
          <w:color w:val="auto"/>
        </w:rPr>
        <w:t>.</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our charter and bylaws could hinder, delay or prevent a change in control of our company.</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Certain provisions of our charter and our bylaws could have the effect of discouraging, delaying or preventing transactions that involve an actual or threatened change in control of our company. These provisions include the following:</w:t>
      </w:r>
    </w:p>
    <w:p>
      <w:pPr>
        <w:spacing w:after="0" w:line="108" w:lineRule="exact"/>
        <w:rPr>
          <w:sz w:val="20"/>
          <w:szCs w:val="20"/>
          <w:color w:val="auto"/>
        </w:rPr>
      </w:pPr>
    </w:p>
    <w:p>
      <w:pPr>
        <w:jc w:val="both"/>
        <w:ind w:left="660" w:firstLine="401"/>
        <w:spacing w:after="0" w:line="266" w:lineRule="auto"/>
        <w:tabs>
          <w:tab w:leader="none" w:pos="1303"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Removal of Directors. Under our charter, a director may be removed only for cause and only by the affirmative vote of at least a majority of all votes entitled to be cast by our stockholders generally in the election of directors, subject to the rights of any preferred stockholders to elect directors.</w:t>
      </w:r>
    </w:p>
    <w:p>
      <w:pPr>
        <w:spacing w:after="0" w:line="108" w:lineRule="exact"/>
        <w:rPr>
          <w:rFonts w:ascii="Times New Roman" w:cs="Times New Roman" w:eastAsia="Times New Roman" w:hAnsi="Times New Roman"/>
          <w:sz w:val="18"/>
          <w:szCs w:val="18"/>
          <w:b w:val="1"/>
          <w:bCs w:val="1"/>
          <w:i w:val="1"/>
          <w:iCs w:val="1"/>
          <w:color w:val="auto"/>
        </w:rPr>
      </w:pPr>
    </w:p>
    <w:p>
      <w:pPr>
        <w:ind w:left="660" w:firstLine="401"/>
        <w:spacing w:after="0" w:line="282"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Under our charter, our board of directors has the power to issue preferred stock in one or more series, with terms, preferences and rights determined by the board of directors, all without approval of our stockholders.</w:t>
      </w:r>
    </w:p>
    <w:p>
      <w:pPr>
        <w:spacing w:after="0" w:line="80" w:lineRule="exact"/>
        <w:rPr>
          <w:rFonts w:ascii="Times New Roman" w:cs="Times New Roman" w:eastAsia="Times New Roman" w:hAnsi="Times New Roman"/>
          <w:sz w:val="18"/>
          <w:szCs w:val="18"/>
          <w:color w:val="auto"/>
        </w:rPr>
      </w:pPr>
    </w:p>
    <w:p>
      <w:pPr>
        <w:ind w:left="660" w:firstLine="401"/>
        <w:spacing w:after="0" w:line="282"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Bylaws. Our bylaws require stockholders to follow advance notice procedures with respect to nominations of directors and shareholder proposals.</w:t>
      </w:r>
    </w:p>
    <w:p>
      <w:pPr>
        <w:spacing w:after="0" w:line="94" w:lineRule="exact"/>
        <w:rPr>
          <w:rFonts w:ascii="Times New Roman" w:cs="Times New Roman" w:eastAsia="Times New Roman" w:hAnsi="Times New Roman"/>
          <w:sz w:val="18"/>
          <w:szCs w:val="18"/>
          <w:color w:val="auto"/>
        </w:rPr>
      </w:pPr>
    </w:p>
    <w:p>
      <w:pPr>
        <w:jc w:val="both"/>
        <w:ind w:left="660" w:firstLine="401"/>
        <w:spacing w:after="0" w:line="266"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Limit. For the purpose, among others, of preserving our status as a REIT under the Internal Revenue Code, our charter generally prohibits any single stockholder or group of affiliated stockholders from beneficially owning more than 9.8% of our outstanding common and preferred stock unless our board of directors waives or modifies this ownership limit.</w:t>
      </w:r>
    </w:p>
    <w:p>
      <w:pPr>
        <w:spacing w:after="0" w:line="108" w:lineRule="exact"/>
        <w:rPr>
          <w:rFonts w:ascii="Times New Roman" w:cs="Times New Roman" w:eastAsia="Times New Roman" w:hAnsi="Times New Roman"/>
          <w:sz w:val="18"/>
          <w:szCs w:val="18"/>
          <w:color w:val="auto"/>
        </w:rPr>
      </w:pPr>
    </w:p>
    <w:p>
      <w:pPr>
        <w:ind w:left="660" w:right="20" w:firstLine="401"/>
        <w:spacing w:after="0" w:line="282"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Action by Written Consent. Our bylaws permit stockholders actions by written consent in lieu of an annual or special meeting of stockholders only if all stockholders consent to such action.</w:t>
      </w:r>
    </w:p>
    <w:p>
      <w:pPr>
        <w:spacing w:after="0" w:line="80" w:lineRule="exact"/>
        <w:rPr>
          <w:rFonts w:ascii="Times New Roman" w:cs="Times New Roman" w:eastAsia="Times New Roman" w:hAnsi="Times New Roman"/>
          <w:sz w:val="18"/>
          <w:szCs w:val="18"/>
          <w:color w:val="auto"/>
        </w:rPr>
      </w:pPr>
    </w:p>
    <w:p>
      <w:pPr>
        <w:ind w:left="660" w:firstLine="401"/>
        <w:spacing w:after="0" w:line="282"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Stockholders to Call Special Meeting. Under our bylaws, we are only required to call a special meeting at the request of the stockholders if the request is made by at least a majority of all votes entitled to be cast by our stockholders generally in the election of directors.</w:t>
      </w:r>
    </w:p>
    <w:p>
      <w:pPr>
        <w:spacing w:after="0" w:line="94" w:lineRule="exact"/>
        <w:rPr>
          <w:rFonts w:ascii="Times New Roman" w:cs="Times New Roman" w:eastAsia="Times New Roman" w:hAnsi="Times New Roman"/>
          <w:sz w:val="18"/>
          <w:szCs w:val="18"/>
          <w:color w:val="auto"/>
        </w:rPr>
      </w:pPr>
    </w:p>
    <w:p>
      <w:pPr>
        <w:jc w:val="both"/>
        <w:ind w:left="660" w:firstLine="401"/>
        <w:spacing w:after="0" w:line="266"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Maryland Control Share Acquisition Act. While our bylaws currently exempt acquisitions of our shares from the Maryland Control Share Acquisition Act, the board of directors may amend our bylaws to repeal or modify this exemption. If repealed, control shares acquired in a control share acquisition will be subject to the Maryland Control Share Acquisition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Risks: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Company might fail to qualify as a REIT under existing laws and/or federal income tax laws could change.</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intends to operate in a manner that qualifies as a REIT under the Code and believes it is currently organized and operated in compliance with REIT requirements. However, maintaining REIT qualification requires ongoing compliance with numerous highly technical and complex Code provisions, some of which depend on various factual matters and circumstances not entirely within our control.</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the Company fails to qualify as a REIT in any taxable year, it would be subject to federal income tax at corporate rates. This could result in a discontinuation or substantial reduction in distributions to our stockholders and unitholders and could reduce the cash available for debt repayment or for further investments in real estate. Unless entitled to statutory relief, the Company would be disqualified from electing REIT status for the four taxable years following the year of disqualification.</w:t>
      </w:r>
    </w:p>
    <w:p>
      <w:pPr>
        <w:spacing w:after="0" w:line="12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IRS, the United States Treasury Department and Congress frequently review federal income tax legislation, and we cannot predict whether, when or to what extent new federal laws, regulations, and administrative interpretations or rulings will be adopted. Additional changes to tax laws are likely to occur in the future and any such legislative action may prospectively or retroactively modify the Company's tax treatment and therefore, may adversely affect taxation of us and/or our stockholders and unitholders. Any such changes could have an adverse effect on an investment in shares of our common stock or on the market value or the resale potential of our properties. Stockholders and unitholders are urged to consult with their own tax advisors regarding the impact of recent legislation, the status of legislative, regulatory, or administrative developments and proposals, and their potential effect on ownership of our shares.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property transfers may generate prohibited transaction income, resulting in a penalty tax on the gain attributable to the transaction.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business, we sell properties to third parties as opportunities arise. However, under the Code, a 100% penalty tax could be assessed on the taxable gain attributable to sales of properties that are deemed to be prohibited transactions. Whether a transaction constitutes a prohibited transaction is based on the facts and circumstances surrounding each transaction. The IRS could contend that certain sales of properties by us are prohibited transactions. While we implement controls designed to avoid prohibited transactions, if a dispute were to arise and be successfully asserted by the IRS, the 100% penalty tax could be assessed against the Company's profits from these transactions, which could materially and adversely impact our financial results.</w:t>
      </w:r>
    </w:p>
    <w:p>
      <w:pPr>
        <w:spacing w:after="0" w:line="125" w:lineRule="exact"/>
        <w:rPr>
          <w:sz w:val="20"/>
          <w:szCs w:val="20"/>
          <w:color w:val="auto"/>
        </w:rPr>
      </w:pPr>
    </w:p>
    <w:p>
      <w:pPr>
        <w:ind w:right="1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maintain our qualification as a REIT for federal income tax purposes, we may be subject to other tax liabilities that reduce our cash flow and our ability to make distributions to stockholders.</w:t>
      </w:r>
    </w:p>
    <w:p>
      <w:pPr>
        <w:spacing w:after="0" w:line="10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Although we intend to maintain our qualification as a REIT for U.S. federal income tax purposes, we may still be subject to federal, state and local taxes on our income and property. Changes in state and local tax laws and regulations, or increases in tax rates may result in an increase in our tax liabilities over time. Additionally, fiscal challenges faced by states and municipalities in which we operate may lead to an increase in the frequency and amount of such increase, which could adversely affect our financial condition and results of operations. Furthermore, our TRSs are subject to federal, state and local income tax on their earnings, which could reduce the funds available for distribution to our stockholders and unitholders.</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certain of our legal entities have been and may continue to be subject to tax audits. There can be no assurance that future audits will not occur with increased frequency or that the ultimate result of such audits will not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future contagious disease outbreak or pandemic may adversely affect our business.</w:t>
      </w:r>
    </w:p>
    <w:p>
      <w:pPr>
        <w:spacing w:after="0" w:line="256"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A future contagious disease outbreak or pandemic could disrupt regional and global economies and cause significant volatility and negative pressure in financial markets. The adverse effects on our business, financial condition, results of operations and cash flows could include: (i) reduced economic activity which may adversely impact our tenants' businesses, resulting in an inability to meet lease obligations, early lease terminations, non-renewals or requests for lease modifications; (ii) delays to or halting of construction activities, including permitting and approvals, related to our development, redevelopment and tenant improvements projects; (iii) difficulty in accessing the capital and lending markets (or a significant increase in the costs of doing so), impacts to our credit ratings, disruption or instability in the global financial markets, or deterioration in credit and financing conditions, which may affect our access to capital necessary to fund business operations or address maturing debt obligations on a timely basis; (iv) potential impact on our ability to meet the financial covenants of our Unsecured Credit Facility and other debt agreements, which may result in defaults, acceleration of indebtedness, restrictions on additional borrowings and limitations on dividend payments; (v) impairment of the value of our tangible or intangible assets due to the weakened economic conditions; (vi) a general decline in business activity and demand for real estate transactions, which could adversely affect our ability to sell or purchase properties on favorable terms or at all; (vii) limitations on our ability to initiate or pursue litigation due to court closures, increased case volume or moratoriums on certain activities; (viii) adverse impacts on employee health, particularly if a significant number of them are impacted, which could result in a deterioration in our ability to ensure business continuity during the disruption and which may negatively impact our disclosure controls and procedures over financial reporting; and (ix) extended remote work arrangements could strain our business continuity plans and introduce operational inefficiencies risk including, but not limited to, cybersecurity risks.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relating to cybersecurity attacks and other disruptions to our computer systems.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rely extensively on computer systems to manage our business, and our business is at risk from and may be impacted by cybersecurity attacks, data breaches and other significant disruptions. These risks could include attempts to gain unauthorized access to our computer systems, data and the data of third parties retained within our systems through malware, computer viruses, email attachments, persons inside our Company or persons with access to systems inside our Company, and other significant disruptions of our information technology networks and related systems. Our business is also at risk from computer systems malfunctions or other significant disruption.</w:t>
      </w:r>
    </w:p>
    <w:p>
      <w:pPr>
        <w:spacing w:after="0" w:line="18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risk of a cybersecurity breach or disruption, including through a cyber-incident involving computer hackers, foreign governments or cyber terrorists, has generally increased as the number, intensity and sophistication of attempted attacks and intrusions from around the world have increased. Although we employ a number of measures to prevent, detect and mitigate these threats, even the most well-protected information, networks, systems and facilities remain potentially vulnerable because the techniques and tools (including artificial intelligence) used in such attempted attacks evolve and generally are not recognized until launched against a target and, in some cases, are designed to avoid detection. Accordingly, we may be unable to anticipate these techniques or to implement adequate security barriers or other preventative measures, and it is impossible for us to entirely mitigate this risk.</w:t>
      </w:r>
    </w:p>
    <w:p>
      <w:pPr>
        <w:spacing w:after="0" w:line="3"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Moreover, our risk exposure extends beyond our internal systems. Cybersecurity events or disruptions impacting our vendors, sub-processors and service providers could impact our data and operations or the data of third parties retained within our systems via unauthorized access to information or disruption of services.</w:t>
      </w:r>
    </w:p>
    <w:p>
      <w:pPr>
        <w:spacing w:after="0" w:line="1"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color w:val="auto"/>
        </w:rPr>
        <w:t>Our computer systems are essential to our day-to-day operations and, in some cases, may be critical to the operations of certain of our tenants. A successful cybersecurity attack or system disruption could have severe consequences, including: (i) disruption to the proper functioning of our networks and systems, and therefore our operations and/or those of certain of our tenants; (ii) unauthorized access to, and destruction, loss, theft, misappropriation or release of proprietary, confidential, sensitive or otherwise valuable information of ours or others, which could be used to compete against us or for other harmful purposes; (iii) misstated financial reports, violations of loan covenants or missed reporting deadlines; (iv) an inability to properly monitor compliance with the rules and regulations regarding our qualification as a REIT; (v) diversion of significant management resources to remedy damages and restore systems; (vi) claims for breach of contract, damages, credits, penalties or termination of leases or other agreements; (vii) legal liability or regulatory actions stemming from data breaches or disruptions; or (viii) damage to our reputation among tenants, investors and other stakeholders.</w:t>
      </w:r>
    </w:p>
    <w:p>
      <w:pPr>
        <w:spacing w:after="0" w:line="2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While we continuously work to strengthen our defenses, the evolving nature of cyber threats makes it impossible to entirely eliminate this risk. A successful cybersecurity attack or disruption could materially and adversely affect our business, financial performance, and reputation.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litigation.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may become subject to litigation, including claims relating to our operations, offerings, and other activity in the ordinary course of business. Some of these claims may result in significant defense costs and potentially significant judgments against us, some of which are not, or cannot be, insured against. Resolution of these types of matters could adversely impact our financial condition, results of operations and cash flow. Furthermore, certain litigation or their outcomes may affect the availability, terms or cost of our insurance coverage, which could adversely impact our results of operations and cash flows, expose us to increased risks that would be uninsured, and/or adversely impact our ability to attract officers and directors.</w:t>
      </w:r>
    </w:p>
    <w:p>
      <w:pPr>
        <w:spacing w:after="0" w:line="12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violence or war may affect the market for the Company's common stock, the industry in which we conduct our operations and our profitability.</w:t>
      </w:r>
    </w:p>
    <w:p>
      <w:pPr>
        <w:spacing w:after="0" w:line="10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Acts of violence, including terrorism and armed conflicts, or other destabilizing geopolitical events could occur in areas where we conduct business. More generally, these events could cause consumer confidence and spending to decrease or result in increased volatility in the worldwide financial markets and economy. These events may adversely impact our operations or financial condition. In addition, losses resulting from these types of events may be uninsurable.</w:t>
      </w:r>
    </w:p>
    <w:p>
      <w:pPr>
        <w:spacing w:after="0" w:line="122"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Deficiencies in our disclosure controls and procedures or internal control over financial reporting could adversely impact our business and financial performance.</w:t>
      </w:r>
    </w:p>
    <w:p>
      <w:pPr>
        <w:spacing w:after="0" w:line="10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design and effectiveness of our disclosure controls and procedures and internal control over financial reporting may not prevent all errors, misstatements or misrepresentations. While management will continue to review the effectiveness of our disclosure controls and procedures and internal control over financial reporting, there can be no guarantee that our internal control over financial reporting will be effective in accomplishing all control objectives at all times. Deficiencies, including any material weakness, in such internal controls could result in misstatements of our results of operations, restatements of our financial statements, a decline in the price/value of our securities, damage to our business reputation or otherwise materially adversely affect our business, results of operations, financial condition or liquidity. Such outcomes could erode investor confidence and materially affect our business and financial performance. We remain committed to monitoring and improving our internal controls over financial reporting, but no system can entirely eliminate the risk of deficiencies.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and attract key management personnel.</w:t>
      </w:r>
    </w:p>
    <w:p>
      <w:pPr>
        <w:spacing w:after="0" w:line="25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success significantly depends on the expertise and contributions of key personnel, including our executive officers, whose continued service is not guaranteed. If we lose key personnel, experience changes in their roles, or face limitations on their availability, we may not be able to find replacements with comparable skill, ability and industry expertise. Until suitable replacements are identified and retained, if at all, our operating results and financial condition could be materially and adversely affected.</w:t>
      </w:r>
    </w:p>
    <w:p>
      <w:pPr>
        <w:spacing w:after="0" w:line="16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SEC Comments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Cybersecurity risk is a critical and continuously evolving area of focus for us, and significant resources are devoted to protecting and enhancing the security of computer systems, software, networks and other technology assets. We have controls and systems in place to safely receive, protect and store information; collect, use, and share that information appropriately; and detect, contain and respond to data security and denial-of-service incidents.</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identify and manage material cyber risks by continually assessing external threats to understand evolving threats, emerging issues and industry trends. Cybersecurity is an integral part of the Company’s enterprise risk management function, which identifies, monitors and mitigates business, operational and legal risks. We view our main cybersecurity risks as attempts to gain unauthorized access to our computer systems and data (including that of third parties to whom we owe a duty of care) through malware, ransomware, phishing, social engineering, insider threats and other malicious activities or disruptions to our information technology networks and systems. Our processes and controls to mitigate these risks, categorized by six functional areas: Identify, Protect, Detect, Respond, Recover and Govern, are described below.</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first step in our process is to identify the risks related to our data, personnel, devices, systems and facilities. In connection with this phase, we:</w:t>
      </w:r>
    </w:p>
    <w:p>
      <w:pPr>
        <w:spacing w:after="0" w:line="171" w:lineRule="exact"/>
        <w:rPr>
          <w:sz w:val="20"/>
          <w:szCs w:val="20"/>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enterprise-wide risk assessments that include information technology risk areas, supplemented by periodic technical assessments from independent security and technology firms;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matrix that delineates roles and responsibilities for information security supporting critical financial applications, databases and networks;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various consortiums, associations and groups to share threat intelligence, regulatory updates and best practices;</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mandatory information security training for all employees and regularly evaluate their awareness and adherence to our information security recommendations;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 our computer usage policy on our intranet and require employees to acknowledge the policy annually.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Next, we implement controls and processes designed to protect against identified risks. In connection with this phase, we:</w:t>
      </w:r>
    </w:p>
    <w:p>
      <w:pPr>
        <w:spacing w:after="0" w:line="171" w:lineRule="exact"/>
        <w:rPr>
          <w:sz w:val="20"/>
          <w:szCs w:val="20"/>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access controls that restrict network and system access to authorized users, including privileged access segregation, password encryption via a password manager, timely deactivation of terminated employees and two-factor authentication for remote access;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physical security at our data center and backup recovery sites, including door access control systems and surveillance;</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data intrusion to maintain confidentiality and integrity of our data by deploying automated monitoring systems that continuously assess server and network capacity and performance; applying patch management controls on key financial software with routine vulnerability scans; maintaining and updating change logs for all key financial software; requiring pre-approval for all major hardware and infrastructure changes prior to production migration; ensuring all remote access is fully encrypted; and implementing internal firewalls to limit access to sensitive systems and applications; and</w:t>
      </w:r>
    </w:p>
    <w:p>
      <w:pPr>
        <w:spacing w:after="0" w:line="1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controls and processes over third-party payments, using a combination of internal controls around the setup, maintenance and archiving of records to prevent fraud and minimize the risk of erroneous payments.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ind w:firstLine="405"/>
        <w:spacing w:after="0" w:line="282" w:lineRule="auto"/>
        <w:rPr>
          <w:sz w:val="20"/>
          <w:szCs w:val="20"/>
          <w:color w:val="auto"/>
        </w:rPr>
      </w:pPr>
      <w:r>
        <w:rPr>
          <w:rFonts w:ascii="Times New Roman" w:cs="Times New Roman" w:eastAsia="Times New Roman" w:hAnsi="Times New Roman"/>
          <w:sz w:val="18"/>
          <w:szCs w:val="18"/>
          <w:color w:val="auto"/>
        </w:rPr>
        <w:t>We continually monitor our information systems in order to detect anomalous activity and verify the effectiveness of our protective measures. In connection with this phase, we:</w:t>
      </w:r>
    </w:p>
    <w:p>
      <w:pPr>
        <w:spacing w:after="0" w:line="108" w:lineRule="exact"/>
        <w:rPr>
          <w:sz w:val="20"/>
          <w:szCs w:val="20"/>
          <w:color w:val="auto"/>
        </w:rPr>
      </w:pPr>
    </w:p>
    <w:p>
      <w:pPr>
        <w:ind w:left="980" w:right="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extended detection and response software on our network at all times, company-wide endpoint security monitoring and active threat remediation software that is fully supported by staff and backed by a prevention warranty;</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independent cybersecurity specialists to periodically perform penetration testing (simulated cyberattacks to assess our ability to resist potential threats and attacks from external and internal sources), cyber dwelling assessments (to determine if a threat actor has accessed or could access our network and compromise confidential information) and tabletop exercises to evaluate our ability to react to an attack;</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technical control structure and competency of all new third-party software vendors and review “cloud” vendors’ Service Organization Control (SOC) reports or reasonable substitutes to assess the maturity of their security controls;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monthly mock phishing exercises with employees and provide additional training as needed.</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maintain comprehensive plans to respond to detected cybersecurity incidents, including:</w:t>
      </w:r>
    </w:p>
    <w:p>
      <w:pPr>
        <w:spacing w:after="0" w:line="171" w:lineRule="exact"/>
        <w:rPr>
          <w:sz w:val="20"/>
          <w:szCs w:val="20"/>
          <w:color w:val="auto"/>
        </w:rPr>
      </w:pPr>
    </w:p>
    <w:p>
      <w:pPr>
        <w:ind w:left="980" w:right="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playbooks providing sequential instructions on appropriate steps to take in the wake of various cyberattacks, including ransomware attacks, data breaches, loss of third-party data and partial and full disaster recovery scenarios;</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a leading incident response provider to assist with security incidents, as well as an attorney who serves as our data breach coach. This attorney specializes in data privacy and cybersecurity, and maintains relationships with forensics investigators, crisis communications professionals and other specialized service providers we may engage in the event of a data breach; 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Escalation and notification protocols aligned with legal and regulatory obligations.</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recover systems or assets affected by a cybersecurity incident, we maintain and regularly test full system backups stored in multiple secure locations, both online and offline.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the date of this Form 10-K, we have not experienced a cybersecurity threat or incident that resulted in a material adverse impact to our business, operations or financial condition. However, there can be no guarantee that we will not experience such an incident in the future. See Risk Factors for more information on our cybersecurity risks.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Cybersecurity oversight begins with strong governance. The Company manages cybersecurity risk as part of its overall enterprise risk management program, with clear accountability and defined responsibilities across management and the Board of Directors. The Chief Information Officer (who reports directly to our Chief Executive Officer), supported by Senior Director of Information Technology, our Senior Director of Business Systems Applications and the Information Technology Security Manager, directs the Company’s cybersecurity strategy, daily operations, and incident response preparedness. Management reviews cybersecurity policies and procedures at least annually with the Audit Committee and reports on emerging risks, control performance, and mitigation progress. The Company also manages third party and supply chain security risks through vendor due diligence reviews and contractual requirements.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Audit Committee, as delegated by our Board of Directors, oversees cybersecurity matters, receiving regular reports from management on risk assessments, control initiatives, and incident response activities. The Audit Committee Chairperson also participates in our annual enterprise-wide risk assessment process. In addition to the foregoing, from time to time, the Board of Directors is updated on the Company’s internal control systems with respect to information technology security.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At December 31, 2025, we owned 418 industrial properties of which 414 were classified as in-service. Of the 418 properties owned on a consolidated basis, none of them are directly owned by the Company. The 414 in-service industrial properties contained an aggregate of approximately 69.9 million square feet of GLA in 19 states. Our in-service portfolio includes all properties that have reached stabilized occupancy (defined as properties that are 90% leased), (re)developed properties upon the earlier of reaching 90% occupancy or one year from the date construction is completed and acquired properties that are at least 75% occupied at acquisition or one year from the acquisition date, unless we anticipate tenant move-outs within two years of ownership would drop occupancy below 75%. Acquired properties with tenants that we anticipate will move out within the first two years of ownership are placed in service upon the earlier of reaching 90% occupancy or one year after move out. The average annual base rent per square foot for our in-service portfolio, calculated at December 31, 2025, was $8.41. The properties are generally located in business parks that have convenient access to interstate highways and/or rail and air transportation. We maintain insurance on our properties that we believe is adequate.</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by market, certain information as of December 31, 2025, with respect to the in-service properties.</w:t>
      </w:r>
    </w:p>
    <w:p>
      <w:pPr>
        <w:spacing w:after="0" w:line="1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In-Service Property Summary Totals</w:t>
      </w:r>
    </w:p>
    <w:p>
      <w:pPr>
        <w:spacing w:after="0" w:line="19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16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GLA</w:t>
            </w: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5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at 12/31/25</w:t>
            </w:r>
          </w:p>
        </w:tc>
        <w:tc>
          <w:tcPr>
            <w:tcW w:w="0" w:type="dxa"/>
            <w:vAlign w:val="bottom"/>
          </w:tcPr>
          <w:p>
            <w:pPr>
              <w:spacing w:after="0"/>
              <w:rPr>
                <w:sz w:val="1"/>
                <w:szCs w:val="1"/>
                <w:color w:val="auto"/>
              </w:rPr>
            </w:pPr>
          </w:p>
        </w:tc>
      </w:tr>
      <w:tr>
        <w:trPr>
          <w:trHeight w:val="228"/>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GA</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5,249,774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96.4%</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Baltimore, MD / D.C.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3,416,464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84.3%</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Florida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92.0%</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Central/Eastern Pennsylvania </w:t>
            </w:r>
            <w:r>
              <w:rPr>
                <w:rFonts w:ascii="Times New Roman" w:cs="Times New Roman" w:eastAsia="Times New Roman" w:hAnsi="Times New Roman"/>
                <w:sz w:val="23"/>
                <w:szCs w:val="23"/>
                <w:color w:val="auto"/>
                <w:vertAlign w:val="superscript"/>
              </w:rPr>
              <w:t>(A)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8,656,434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IL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6,169,821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96.9%</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Cincinnati, OH</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467,320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Dallas/Ft. Worth, TX</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7,390,236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98.3%</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Denver, CO </w:t>
            </w:r>
            <w:r>
              <w:rPr>
                <w:rFonts w:ascii="Times New Roman" w:cs="Times New Roman" w:eastAsia="Times New Roman" w:hAnsi="Times New Roman"/>
                <w:sz w:val="23"/>
                <w:szCs w:val="23"/>
                <w:color w:val="auto"/>
                <w:vertAlign w:val="superscript"/>
              </w:rPr>
              <w:t>(A)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3,742,551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82.3%</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Detroit, MI</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TX</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4,114,475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99.8%</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Minneapolis/St. Paul, MN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98.9%</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Nashville, TN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2,876,579</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New Jersey </w:t>
            </w:r>
            <w:r>
              <w:rPr>
                <w:rFonts w:ascii="Times New Roman" w:cs="Times New Roman" w:eastAsia="Times New Roman" w:hAnsi="Times New Roman"/>
                <w:sz w:val="23"/>
                <w:szCs w:val="23"/>
                <w:color w:val="auto"/>
                <w:vertAlign w:val="superscript"/>
              </w:rPr>
              <w:t>(A)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99.8%</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California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1,300,236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Phoenix, AZ</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5,916,701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Seattle, WA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552,163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Florida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97.0%</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Southern California </w:t>
            </w:r>
            <w:r>
              <w:rPr>
                <w:rFonts w:ascii="Times New Roman" w:cs="Times New Roman" w:eastAsia="Times New Roman" w:hAnsi="Times New Roman"/>
                <w:sz w:val="23"/>
                <w:szCs w:val="23"/>
                <w:color w:val="auto"/>
                <w:vertAlign w:val="superscript"/>
              </w:rPr>
              <w:t>(A)</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11,538,294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89.7%</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69,884,767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 w:lineRule="exact"/>
        <w:rPr>
          <w:sz w:val="20"/>
          <w:szCs w:val="20"/>
          <w:color w:val="auto"/>
        </w:rPr>
      </w:pPr>
    </w:p>
    <w:p>
      <w:pPr>
        <w:jc w:val="both"/>
        <w:ind w:left="340" w:hanging="332"/>
        <w:spacing w:after="0" w:line="232" w:lineRule="auto"/>
        <w:tabs>
          <w:tab w:leader="none" w:pos="32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Central/Eastern Pennsylvania includes the markets of Central Pennsylvania and Philadelphia. Denver includes one property in Salt Lake City. New Jersey includes the markets of Northern and Central New Jersey. Southern California includes the markets of Los Angeles, the Inland Empire and San Diego.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December 31, 2025, three of our 414 in-service industrial properties, with a net carrying value of $29.4 million, are pledged as collateral under a mortgage financing, totaling $9.3 million. See Note 4 to the Consolidated Financial Statements and the accompanying Schedule III for additional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Development Activity</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transferred seven development properties totaling approximately 1.9 million square feet of GLA to our in-service portfolio at a total estimated cost of approximately $249.8 million. Included in the estimated total cost is $8.6 million of leasing commissions. The capitalization rate for these development projects, calculated using the estimated stabilized net operating income (excluding straight-line rent adjustments) divided by the total investment in the developed property is 6.8%. The placed in-service development projects have the following characteristics:</w:t>
      </w:r>
    </w:p>
    <w:p>
      <w:pPr>
        <w:spacing w:after="0" w:line="151"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GLA</w:t>
            </w:r>
          </w:p>
        </w:tc>
        <w:tc>
          <w:tcPr>
            <w:tcW w:w="100" w:type="dxa"/>
            <w:vAlign w:val="bottom"/>
          </w:tcPr>
          <w:p>
            <w:pPr>
              <w:spacing w:after="0"/>
              <w:rPr>
                <w:sz w:val="13"/>
                <w:szCs w:val="13"/>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0" w:type="dxa"/>
            <w:vAlign w:val="bottom"/>
          </w:tcPr>
          <w:p>
            <w:pPr>
              <w:spacing w:after="0"/>
              <w:rPr>
                <w:sz w:val="1"/>
                <w:szCs w:val="1"/>
                <w:color w:val="auto"/>
              </w:rPr>
            </w:pPr>
          </w:p>
        </w:tc>
      </w:tr>
      <w:tr>
        <w:trPr>
          <w:trHeight w:val="195"/>
        </w:trPr>
        <w:tc>
          <w:tcPr>
            <w:tcW w:w="292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at 12/31/25</w:t>
            </w: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Florida</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TX</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424,560</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Nashville, TN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541,500</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Southern California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637,668</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Florida</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135,707</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1,851,435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we substantially completed three developments totaling approximately 0.6 million square feet of GLA. The estimated total investment for these developments is approximately $97.4 million, of which $84.7 million has been funded as of December 31, 2025. There can be no assurance that the actual completion cost for these developments will not exceed the estimated completion cost. The substantially completed developments have the following characteristics:</w:t>
      </w:r>
    </w:p>
    <w:p>
      <w:pPr>
        <w:spacing w:after="0" w:line="147"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GLA</w:t>
            </w:r>
          </w:p>
        </w:tc>
        <w:tc>
          <w:tcPr>
            <w:tcW w:w="100" w:type="dxa"/>
            <w:vAlign w:val="bottom"/>
          </w:tcPr>
          <w:p>
            <w:pPr>
              <w:spacing w:after="0"/>
              <w:rPr>
                <w:sz w:val="13"/>
                <w:szCs w:val="13"/>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0" w:type="dxa"/>
            <w:vAlign w:val="bottom"/>
          </w:tcPr>
          <w:p>
            <w:pPr>
              <w:spacing w:after="0"/>
              <w:rPr>
                <w:sz w:val="1"/>
                <w:szCs w:val="1"/>
                <w:color w:val="auto"/>
              </w:rPr>
            </w:pPr>
          </w:p>
        </w:tc>
      </w:tr>
      <w:tr>
        <w:trPr>
          <w:trHeight w:val="195"/>
        </w:trPr>
        <w:tc>
          <w:tcPr>
            <w:tcW w:w="29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at 12/31/25</w:t>
            </w: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Nashville, TN</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317,117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South Florida</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258,024</w:t>
            </w:r>
          </w:p>
        </w:tc>
        <w:tc>
          <w:tcPr>
            <w:tcW w:w="1460" w:type="dxa"/>
            <w:vAlign w:val="bottom"/>
            <w:tcBorders>
              <w:bottom w:val="single" w:sz="8" w:color="CCEEFF"/>
            </w:tcBorders>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we have six projects classified as under development totaling approximately 1.1 million square feet of GLA. This total includes two projects for which vertical construction commenced in the first quarter of 2026. The estimated total investment for these development projects under construction is $187.1 million, of which $100.1 million has been funded as of December 31, 2025. There can be no assurance that the actual completion cost for these developments will not exceed the estimated completion cost. The development projects under construction have the following characteristics:</w:t>
      </w:r>
    </w:p>
    <w:p>
      <w:pPr>
        <w:spacing w:after="0" w:line="149"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 Quarter</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1540" w:type="dxa"/>
            <w:vAlign w:val="bottom"/>
            <w:gridSpan w:val="2"/>
            <w:vMerge w:val="continue"/>
          </w:tcPr>
          <w:p>
            <w:pPr>
              <w:spacing w:after="0"/>
              <w:rPr>
                <w:sz w:val="12"/>
                <w:szCs w:val="12"/>
                <w:color w:val="auto"/>
              </w:rPr>
            </w:pPr>
          </w:p>
        </w:tc>
        <w:tc>
          <w:tcPr>
            <w:tcW w:w="14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GLA</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Building</w:t>
            </w: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229"/>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Central/Eastern Pennsylvania</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Central/Eastern Pennsylvania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225,680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2026</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Dallas/Ft. Worth, TX</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Q2 2026</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Dallas/Ft. Worth, TX</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Florida</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 2027</w:t>
            </w:r>
          </w:p>
        </w:tc>
        <w:tc>
          <w:tcPr>
            <w:tcW w:w="0" w:type="dxa"/>
            <w:vAlign w:val="bottom"/>
          </w:tcPr>
          <w:p>
            <w:pPr>
              <w:spacing w:after="0"/>
              <w:rPr>
                <w:sz w:val="1"/>
                <w:szCs w:val="1"/>
                <w:color w:val="auto"/>
              </w:rPr>
            </w:pPr>
          </w:p>
        </w:tc>
      </w:tr>
      <w:tr>
        <w:trPr>
          <w:trHeight w:val="223"/>
        </w:trPr>
        <w:tc>
          <w:tcPr>
            <w:tcW w:w="3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1,068,332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Property Acquisitions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we acquired four industrial properties and one income-producing land parcel in our Baltimore, Northern California and Phoenix markets, as well as approximately 61 acres of land for development in the Philadelphia market, for an aggregate purchase price of approximately $303.0 million. The industrial properties and the income-producing land parcel were acquired at an expected stabilized capitalization rate of approximately 6.4%. This capitalization rate was calculated using the estimated stabilized net operating income (excluding straight-line rent adjustments and above and below market lease amortization), divided by the sum of the purchase price, closing costs and estimated stabilization costs. For properties acquired from the Joint Venture located in Phoenix, the purchase price used in this calculation was reduced by our proportionate share of the Joint Venture's gain on sale and incentive fees. The acquired industrial properties have the following characteristics:</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GLA</w:t>
            </w:r>
          </w:p>
        </w:tc>
        <w:tc>
          <w:tcPr>
            <w:tcW w:w="120" w:type="dxa"/>
            <w:vAlign w:val="bottom"/>
          </w:tcPr>
          <w:p>
            <w:pPr>
              <w:spacing w:after="0"/>
              <w:rPr>
                <w:sz w:val="13"/>
                <w:szCs w:val="13"/>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0" w:type="dxa"/>
            <w:vAlign w:val="bottom"/>
          </w:tcPr>
          <w:p>
            <w:pPr>
              <w:spacing w:after="0"/>
              <w:rPr>
                <w:sz w:val="1"/>
                <w:szCs w:val="1"/>
                <w:color w:val="auto"/>
              </w:rPr>
            </w:pPr>
          </w:p>
        </w:tc>
      </w:tr>
      <w:tr>
        <w:trPr>
          <w:trHeight w:val="195"/>
        </w:trPr>
        <w:tc>
          <w:tcPr>
            <w:tcW w:w="31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at 12/31/25</w:t>
            </w:r>
          </w:p>
        </w:tc>
        <w:tc>
          <w:tcPr>
            <w:tcW w:w="0" w:type="dxa"/>
            <w:vAlign w:val="bottom"/>
          </w:tcPr>
          <w:p>
            <w:pPr>
              <w:spacing w:after="0"/>
              <w:rPr>
                <w:sz w:val="1"/>
                <w:szCs w:val="1"/>
                <w:color w:val="auto"/>
              </w:rPr>
            </w:pPr>
          </w:p>
        </w:tc>
      </w:tr>
      <w:tr>
        <w:trPr>
          <w:trHeight w:val="228"/>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Baltimore, MD</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Phoenix, AZ</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1,764,387</w:t>
            </w:r>
          </w:p>
        </w:tc>
        <w:tc>
          <w:tcPr>
            <w:tcW w:w="1540" w:type="dxa"/>
            <w:vAlign w:val="bottom"/>
            <w:tcBorders>
              <w:bottom w:val="single" w:sz="8" w:color="CCEEFF"/>
            </w:tcBorders>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1,880,937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Sales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sold seven industrial properties totaling approximately 0.3 million square feet of GLA, at a weighted average capitalization rate of 6.9%, and one land parcel for total gross sales proceeds of approximately $42.3 million. The capitalization rate for these sales was calculated using the properties' revenues (excluding straight-line rent adjustments, lease inducement amortization and above and below market lease amortization) less operating expenses for the twelve full months preceding the sale, divided by the sales price. The sold industrial properties have the following characteristics: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GLA</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Properties</w:t>
            </w:r>
          </w:p>
        </w:tc>
        <w:tc>
          <w:tcPr>
            <w:tcW w:w="3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Denver, CO</w:t>
            </w: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59,711</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Detroit, MI</w:t>
            </w:r>
          </w:p>
        </w:tc>
        <w:tc>
          <w:tcPr>
            <w:tcW w:w="24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264,871</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1"/>
                <w:szCs w:val="21"/>
                <w:color w:val="auto"/>
              </w:rPr>
            </w:pPr>
          </w:p>
        </w:tc>
        <w:tc>
          <w:tcPr>
            <w:tcW w:w="1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324,582</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Tenant and Lease Information</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a diverse base of approximately 900 tenants engaged in a wide variety of businesses including e-commerce, third-party logistics and transportation, consumer and other manufactured products, retail and consumer services, food and beverage, lumber and building materials, wholesale goods, health services, governmental and other. At December 31, 2025, our leases have a weighted average lease length of 7.7 years from inception and the majority provide for periodic rent increases that are either fixed or based on changes in the Consumer Price Index. Industrial tenants typically have net or semi-net leases and pay as additional rent their percentage of the property's operating costs, including the costs of common area maintenance, insurance, property taxes and utilities. As of December 31, 2025, approximately 94.4% of the GLA of our in-service properties was leased, and no single tenant or group of related tenants accounted for more than 6.4% of our rent revenues, nor did any single tenant or group of related tenants occupy more than 6.5% of the total GLA of our in-service properties.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Activity</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leasing activity for the year ended December 31, 2025. The table does not include month-to-month leases or leases with terms less than twelve months.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Rent Per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Straight Line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1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Leases</w:t>
            </w: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Commenced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Basis</w:t>
            </w:r>
          </w:p>
        </w:tc>
        <w:tc>
          <w:tcPr>
            <w:tcW w:w="10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 Lease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Per Square</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Average Tenant</w:t>
            </w: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Commenced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Square Foot </w:t>
            </w:r>
            <w:r>
              <w:rPr>
                <w:rFonts w:ascii="Times New Roman" w:cs="Times New Roman" w:eastAsia="Times New Roman" w:hAnsi="Times New Roman"/>
                <w:sz w:val="9"/>
                <w:szCs w:val="9"/>
                <w:b w:val="1"/>
                <w:bCs w:val="1"/>
                <w:color w:val="auto"/>
              </w:rPr>
              <w:t>(A)</w:t>
            </w:r>
          </w:p>
        </w:tc>
        <w:tc>
          <w:tcPr>
            <w:tcW w:w="122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4"/>
                <w:szCs w:val="14"/>
                <w:b w:val="1"/>
                <w:bCs w:val="1"/>
                <w:color w:val="auto"/>
              </w:rPr>
              <w:t xml:space="preserve">Rent Growth </w:t>
            </w:r>
            <w:r>
              <w:rPr>
                <w:rFonts w:ascii="Times New Roman" w:cs="Times New Roman" w:eastAsia="Times New Roman" w:hAnsi="Times New Roman"/>
                <w:sz w:val="18"/>
                <w:szCs w:val="18"/>
                <w:b w:val="1"/>
                <w:bCs w:val="1"/>
                <w:color w:val="auto"/>
                <w:vertAlign w:val="superscript"/>
              </w:rPr>
              <w:t>(B)</w:t>
            </w:r>
          </w:p>
        </w:tc>
        <w:tc>
          <w:tcPr>
            <w:tcW w:w="106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4"/>
                <w:szCs w:val="14"/>
                <w:b w:val="1"/>
                <w:bCs w:val="1"/>
                <w:color w:val="auto"/>
                <w:w w:val="93"/>
              </w:rPr>
              <w:t xml:space="preserve">Term </w:t>
            </w:r>
            <w:r>
              <w:rPr>
                <w:rFonts w:ascii="Times New Roman" w:cs="Times New Roman" w:eastAsia="Times New Roman" w:hAnsi="Times New Roman"/>
                <w:sz w:val="18"/>
                <w:szCs w:val="18"/>
                <w:b w:val="1"/>
                <w:bCs w:val="1"/>
                <w:color w:val="auto"/>
                <w:w w:val="93"/>
                <w:vertAlign w:val="superscript"/>
              </w:rPr>
              <w:t>(C)</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4"/>
                <w:szCs w:val="14"/>
                <w:b w:val="1"/>
                <w:bCs w:val="1"/>
                <w:color w:val="auto"/>
                <w:w w:val="92"/>
              </w:rPr>
              <w:t xml:space="preserve">Foot </w:t>
            </w:r>
            <w:r>
              <w:rPr>
                <w:rFonts w:ascii="Times New Roman" w:cs="Times New Roman" w:eastAsia="Times New Roman" w:hAnsi="Times New Roman"/>
                <w:sz w:val="18"/>
                <w:szCs w:val="18"/>
                <w:b w:val="1"/>
                <w:bCs w:val="1"/>
                <w:color w:val="auto"/>
                <w:w w:val="92"/>
                <w:vertAlign w:val="superscript"/>
              </w:rPr>
              <w:t>(D)</w:t>
            </w: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7"/>
              </w:rPr>
              <w:t xml:space="preserve">Retention </w:t>
            </w:r>
            <w:r>
              <w:rPr>
                <w:rFonts w:ascii="Times New Roman" w:cs="Times New Roman" w:eastAsia="Times New Roman" w:hAnsi="Times New Roman"/>
                <w:sz w:val="18"/>
                <w:szCs w:val="18"/>
                <w:b w:val="1"/>
                <w:bCs w:val="1"/>
                <w:color w:val="auto"/>
                <w:w w:val="97"/>
                <w:vertAlign w:val="superscript"/>
              </w:rPr>
              <w:t>(E)</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Leases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Renewal Leases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 Acquisition Leases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 Weighted Average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rent is the average base rent, calculated in accordance with GAAP, over the term of the lease.</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34"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Straight line basis rent growth is calculated as the percentage change in net rent (including straight line rent adjustments) on a new or renewal lease compared to the net rent (also including straight line rent adjustments) of the expiring comparable lease. New leases without a prior comparable lease are excluded from this metric.</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lease term is expressed in years and assumes no exercise of any renewal or extension options.</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27"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Lease costs include all costs incurred or capitalized for improvements related to vacant and renewal spaces, along with leasing commissions and other capitalized transaction-related costs. Lease costs per square foot represent the total expected turnover costs for leases that commenced during the period and may not reflect actual expenditures for the period. Excludes properties with zero square footage, such as income producing land.</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weighted average square footage of tenants that renewed their respective leases.</w:t>
      </w:r>
    </w:p>
    <w:p>
      <w:pPr>
        <w:spacing w:after="0" w:line="14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leases that commenced during the year ended December 31, 2025, which included rent concessions (abated rent) during the lease term.</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12"/>
                <w:szCs w:val="12"/>
                <w:color w:val="auto"/>
              </w:rPr>
            </w:pPr>
          </w:p>
        </w:tc>
        <w:tc>
          <w:tcPr>
            <w:tcW w:w="104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With Rent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Rent Concessions</w:t>
            </w:r>
          </w:p>
        </w:tc>
        <w:tc>
          <w:tcPr>
            <w:tcW w:w="0" w:type="dxa"/>
            <w:vAlign w:val="bottom"/>
          </w:tcPr>
          <w:p>
            <w:pPr>
              <w:spacing w:after="0"/>
              <w:rPr>
                <w:sz w:val="1"/>
                <w:szCs w:val="1"/>
                <w:color w:val="auto"/>
              </w:rPr>
            </w:pPr>
          </w:p>
        </w:tc>
      </w:tr>
      <w:tr>
        <w:trPr>
          <w:trHeight w:val="198"/>
        </w:trPr>
        <w:tc>
          <w:tcPr>
            <w:tcW w:w="7000" w:type="dxa"/>
            <w:vAlign w:val="bottom"/>
          </w:tcPr>
          <w:p>
            <w:pPr>
              <w:spacing w:after="0"/>
              <w:rPr>
                <w:sz w:val="17"/>
                <w:szCs w:val="17"/>
                <w:color w:val="auto"/>
              </w:rPr>
            </w:pPr>
          </w:p>
        </w:tc>
        <w:tc>
          <w:tcPr>
            <w:tcW w:w="10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Concessions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Leases</w:t>
            </w:r>
          </w:p>
        </w:tc>
        <w:tc>
          <w:tcPr>
            <w:tcW w:w="10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Leases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 Acquisition Leases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23"/>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Lease Expirations</w:t>
      </w:r>
    </w:p>
    <w:p>
      <w:pPr>
        <w:spacing w:after="0" w:line="175" w:lineRule="exact"/>
        <w:rPr>
          <w:sz w:val="20"/>
          <w:szCs w:val="20"/>
          <w:color w:val="auto"/>
        </w:rPr>
      </w:pPr>
    </w:p>
    <w:p>
      <w:pPr>
        <w:jc w:val="both"/>
        <w:ind w:firstLine="220"/>
        <w:spacing w:after="0" w:line="254" w:lineRule="auto"/>
        <w:rPr>
          <w:sz w:val="20"/>
          <w:szCs w:val="20"/>
          <w:color w:val="auto"/>
        </w:rPr>
      </w:pPr>
      <w:r>
        <w:rPr>
          <w:rFonts w:ascii="Times New Roman" w:cs="Times New Roman" w:eastAsia="Times New Roman" w:hAnsi="Times New Roman"/>
          <w:sz w:val="18"/>
          <w:szCs w:val="18"/>
          <w:color w:val="auto"/>
        </w:rPr>
        <w:t>Fundamentals for the United States industrial real estate market demonstrated modest improvement overall in 2025. Demand for new industrial space increased compared to 2024. New industrial space was delivered throughout 2025 at a slower pace than the prior year. The volume of new construction starts remained low relative to the recent peak of 2023 given the pace of demand. In 2025, new supply outpaced incremental demand, leading to an increase in national vacancy levels. Market-level rental rate growth was flat to slightly positive in virtually all of the markets in which we own and operate properties. Southern California experienced lower rental rates but at a reduced pace compared to 2024. Looking ahead, based on our recent experience, modest levels of vacancy generally across our markets, and the 2026 forecast of a leading national research company, we expect higher average net rental rates for renewal leases on a cash basis compared to expiring rates. Similarly, for 2026, net rental rates for new leases on a cash basis on average are expected to exceed prior lease rates, driven primarily by market rent growth since the original leases were signed. The following table shows scheduled lease expirations for our in-service properties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Annualized Base Rent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Under</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GLA</w:t>
            </w: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Expiring</w:t>
            </w: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Annualized</w:t>
            </w:r>
          </w:p>
        </w:tc>
        <w:tc>
          <w:tcPr>
            <w:tcW w:w="0" w:type="dxa"/>
            <w:vAlign w:val="bottom"/>
          </w:tcPr>
          <w:p>
            <w:pPr>
              <w:spacing w:after="0"/>
              <w:rPr>
                <w:sz w:val="1"/>
                <w:szCs w:val="1"/>
                <w:color w:val="auto"/>
              </w:rPr>
            </w:pPr>
          </w:p>
        </w:tc>
      </w:tr>
      <w:tr>
        <w:trPr>
          <w:trHeight w:val="146"/>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Year of Expiration </w:t>
            </w:r>
            <w:r>
              <w:rPr>
                <w:rFonts w:ascii="Times New Roman" w:cs="Times New Roman" w:eastAsia="Times New Roman" w:hAnsi="Times New Roman"/>
                <w:sz w:val="18"/>
                <w:szCs w:val="18"/>
                <w:b w:val="1"/>
                <w:bCs w:val="1"/>
                <w:color w:val="auto"/>
                <w:vertAlign w:val="superscript"/>
              </w:rPr>
              <w:t>(A)</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Leases</w:t>
            </w:r>
          </w:p>
        </w:tc>
        <w:tc>
          <w:tcPr>
            <w:tcW w:w="150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 GLA</w:t>
            </w:r>
          </w:p>
        </w:tc>
        <w:tc>
          <w:tcPr>
            <w:tcW w:w="1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Base Rent</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5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Expiring </w:t>
            </w:r>
            <w:r>
              <w:rPr>
                <w:rFonts w:ascii="Times New Roman" w:cs="Times New Roman" w:eastAsia="Times New Roman" w:hAnsi="Times New Roman"/>
                <w:sz w:val="18"/>
                <w:szCs w:val="18"/>
                <w:b w:val="1"/>
                <w:bCs w:val="1"/>
                <w:color w:val="auto"/>
                <w:w w:val="96"/>
                <w:vertAlign w:val="superscript"/>
              </w:rPr>
              <w:t>(B)</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Expiring </w:t>
            </w:r>
            <w:r>
              <w:rPr>
                <w:rFonts w:ascii="Times New Roman" w:cs="Times New Roman" w:eastAsia="Times New Roman" w:hAnsi="Times New Roman"/>
                <w:sz w:val="9"/>
                <w:szCs w:val="9"/>
                <w:b w:val="1"/>
                <w:bCs w:val="1"/>
                <w:color w:val="auto"/>
              </w:rPr>
              <w:t>(B)</w:t>
            </w:r>
          </w:p>
        </w:tc>
        <w:tc>
          <w:tcPr>
            <w:tcW w:w="15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(In thousands) </w:t>
            </w:r>
            <w:r>
              <w:rPr>
                <w:rFonts w:ascii="Times New Roman" w:cs="Times New Roman" w:eastAsia="Times New Roman" w:hAnsi="Times New Roman"/>
                <w:sz w:val="18"/>
                <w:szCs w:val="18"/>
                <w:b w:val="1"/>
                <w:bCs w:val="1"/>
                <w:color w:val="auto"/>
                <w:w w:val="99"/>
                <w:vertAlign w:val="superscript"/>
              </w:rPr>
              <w:t>(C)</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Expiring </w:t>
            </w:r>
            <w:r>
              <w:rPr>
                <w:rFonts w:ascii="Times New Roman" w:cs="Times New Roman" w:eastAsia="Times New Roman" w:hAnsi="Times New Roman"/>
                <w:sz w:val="18"/>
                <w:szCs w:val="18"/>
                <w:b w:val="1"/>
                <w:bCs w:val="1"/>
                <w:color w:val="auto"/>
                <w:w w:val="95"/>
                <w:vertAlign w:val="superscript"/>
              </w:rPr>
              <w:t>(C)</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4,600,013</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$34,949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8,276,871</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63,548</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10,699,101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101,940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8,382,881</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80,923</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7,139,667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62,492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5,854,349</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49,469</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6,854,414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50,712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3,050,861</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28,519</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4,185,546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29,694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4,011,123</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28,491</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2,725,575</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22,957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65,780,401</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$553,694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 w:lineRule="exact"/>
        <w:rPr>
          <w:sz w:val="20"/>
          <w:szCs w:val="20"/>
          <w:color w:val="auto"/>
        </w:rPr>
      </w:pPr>
    </w:p>
    <w:p>
      <w:pPr>
        <w:ind w:left="340" w:hanging="332"/>
        <w:spacing w:after="0" w:line="224" w:lineRule="auto"/>
        <w:tabs>
          <w:tab w:leader="none" w:pos="327"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leases that expire on or after January 1, 2026 and assumes tenants do not exercise existing renewal, termination or purchase options. Reflects the impact of renewals signed prior to January 1, 2026 which are now reflected in the new year of expiration.</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Does not include existing vacancies of 3,892,990 aggregate square feet and December 31, 2025 move outs of 130,376 aggregate square feet.</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4"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base rent is calculated as monthly contractual base rent per the terms of the lease, as of December 31, 2025, multiplied by 12. If free rent is granted, then the first positive rent value is used.</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are involved in legal proceedings arising in the ordinary course of business. All such proceedings, taken together, are not expected to have a material impact on our results of operations, financial position or liquidity.</w:t>
      </w:r>
    </w:p>
    <w:p>
      <w:pPr>
        <w:spacing w:after="0" w:line="14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left="1260" w:right="40" w:hanging="1227"/>
        <w:spacing w:after="0" w:line="239"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 Partners' Capital, Related Stockholder / Unitholder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closing prices per share of the Company's common stock, which trades on the New York Stock Exchange under the trading symbol "FR" and the dividends declared per share for the Company's common stock and the distributions declared per Unit for the Operating Partnership's Units. There is no established public trading market for the Units.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Closing High</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Closing Low</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Dividend/Distribution</w:t>
            </w:r>
          </w:p>
        </w:tc>
        <w:tc>
          <w:tcPr>
            <w:tcW w:w="0" w:type="dxa"/>
            <w:vAlign w:val="bottom"/>
          </w:tcPr>
          <w:p>
            <w:pPr>
              <w:spacing w:after="0"/>
              <w:rPr>
                <w:sz w:val="1"/>
                <w:szCs w:val="1"/>
                <w:color w:val="auto"/>
              </w:rPr>
            </w:pPr>
          </w:p>
        </w:tc>
      </w:tr>
      <w:tr>
        <w:trPr>
          <w:trHeight w:val="196"/>
        </w:trPr>
        <w:tc>
          <w:tcPr>
            <w:tcW w:w="670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$59.03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$50.26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$0.445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$52.64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$47.58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$0.445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$0.445</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$57.99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$48.46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$0.445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$0.370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$56.97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$47.13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$0.370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$0.370</w:t>
            </w:r>
          </w:p>
        </w:tc>
        <w:tc>
          <w:tcPr>
            <w:tcW w:w="0" w:type="dxa"/>
            <w:vAlign w:val="bottom"/>
          </w:tcPr>
          <w:p>
            <w:pPr>
              <w:spacing w:after="0"/>
              <w:rPr>
                <w:sz w:val="1"/>
                <w:szCs w:val="1"/>
                <w:color w:val="auto"/>
              </w:rPr>
            </w:pPr>
          </w:p>
        </w:tc>
      </w:tr>
      <w:tr>
        <w:trPr>
          <w:trHeight w:val="23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$54.80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$50.59</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$0.370</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February 10, 2026, the Company had 236 common stockholders of record. The number of holders does not include individuals or entities who beneficially own shares but whose shares are held of record by a broker or clearing agency, but does include each such broker or clearing agency as one record holder. The Operating Partnership had 106 holders of record of Units registered with our transfer agent.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order to comply with the REIT requirements of the Code, the Company is generally required to make common share distributions and preferred share distributions (other than capital gain distributions) to its shareholders in amounts that together at least equal (i) the sum of (a) 90% of the Company's "REIT taxable income" computed without regard to the dividends paid deduction and net capital gains and (b) 90% of net income (after tax), if any, from foreclosure property, minus (ii) certain excess non-cash income.</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dividend/distribution policy is determined by the Company's Board of Directors and is dependent on multiple factors, including cash flow and capital expenditure requirements, as well as ensuring that the Company meets the minimum distribution requirements set forth in the Code. The Company met the minimum distribution requirements with respect to 2025.</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Holders of Units are entitled to receive distributions when, as and if declared by the Company's Board of Directors, after the priority distributions required under the Operating Partnership's partnership agreement have been made with respect to preferred partnership interests in the Operating Partnership out of any funds legally available for that purpose.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Partner Units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Operating Partnership issued 549,203 Limited Partner Units as part of its equity compensation program, including Limited Partner Units issued in connection with dividends accrued on the underlying common stock for certain employees and directors. See Note 11 to the Consolidated Financial Statements for more information.</w:t>
      </w:r>
    </w:p>
    <w:p>
      <w:pPr>
        <w:spacing w:after="0" w:line="12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Subject to certain lock-up periods, holders of Limited Partner Units can redeem their Units by providing written notice to the General Partner of the Operating Partnership. Unless the General Partner imposes a redemption restriction, the redemption process must be completed within seven business days after receipt of the holder's notice. The redemption can be effectuated, as determined by the General Partner, either by exchanging the Limited Partner Units for shares of common stock of the Company on a one-for-one basis, subject to adjustment, or by paying cash equal to the fair market value of such shares. Historically, redemptions have been fulfilled with the issuance of the Company's common stock, and the Operating Partnership expects to continue this practice. As of December 31, 2025, if all Limited Partner Units were redeemed, the Operating Partnership could satisfy its redemption obligations by making an aggregate cash payment of approximately $230.9 million or by issuing 4,031,088 shares of the Company's common stock.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graph provides a comparison of the cumulative total stockholder return among the Company, the FTSE NAREIT Equity REIT Total Return Index (the "NAREIT Index") and the Standard &amp; Poor's 500 Index ("S&amp;P 500"). The NAREIT Index represents the performance of our publicly traded REIT peers. The historical information set forth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54610</wp:posOffset>
            </wp:positionV>
            <wp:extent cx="5760720" cy="2957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40" w:right="2300" w:hanging="446"/>
        <w:spacing w:after="0" w:line="215" w:lineRule="auto"/>
        <w:tabs>
          <w:tab w:leader="none" w:pos="27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$100 invested on 12/31/20 in stock or index, including reinvestment of dividends. Fiscal year ending December 31.</w:t>
      </w:r>
    </w:p>
    <w:p>
      <w:pPr>
        <w:spacing w:after="0" w:line="104" w:lineRule="exact"/>
        <w:rPr>
          <w:rFonts w:ascii="Times New Roman" w:cs="Times New Roman" w:eastAsia="Times New Roman" w:hAnsi="Times New Roman"/>
          <w:sz w:val="23"/>
          <w:szCs w:val="23"/>
          <w:color w:val="auto"/>
          <w:vertAlign w:val="superscript"/>
        </w:rPr>
      </w:pPr>
    </w:p>
    <w:p>
      <w:pPr>
        <w:jc w:val="both"/>
        <w:ind w:left="2740" w:right="2280"/>
        <w:spacing w:after="0" w:line="22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provided in this performance graph shall not be deemed to be "soliciting material," to be "filed" or to be incorporated by reference into any filing under the Securities Act of 1933 or the Securities Exchange Act of 1934 unless specifically treated as such.</w:t>
      </w:r>
    </w:p>
    <w:p>
      <w:pPr>
        <w:spacing w:after="0" w:line="30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sections of this Form 10-K titled "Forward-Looking Statements" and the Consolidated Financial Statements and Notes thereto appearing elsewhere in this Form 10-K.</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2025</w:t>
      </w:r>
    </w:p>
    <w:p>
      <w:pPr>
        <w:spacing w:after="0" w:line="14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operating results were strong in 2025, highlighted by a 32.2% average increase in cash rental rates on new and renewal commenced leases, tenant retention of 71.0% and year-end in-service occupancy of 94.4%, demonstrating healthy demand.</w:t>
      </w:r>
    </w:p>
    <w:p>
      <w:pPr>
        <w:spacing w:after="0" w:line="94"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8"/>
          <w:szCs w:val="18"/>
          <w:color w:val="auto"/>
        </w:rPr>
        <w:t>At December 31, 2025, we had six projects classified as under development, totaling approximately 1.1 million square feet of GLA with an aggregate estimated investment of approximately $187.1 million. This total includes two projects for which vertical construction commenced in the first quarter of 2026</w:t>
      </w:r>
      <w:r>
        <w:rPr>
          <w:rFonts w:ascii="Times New Roman" w:cs="Times New Roman" w:eastAsia="Times New Roman" w:hAnsi="Times New Roman"/>
          <w:sz w:val="19"/>
          <w:szCs w:val="19"/>
          <w:color w:val="auto"/>
        </w:rPr>
        <w: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2025, we completed several significant real estate transactions:</w:t>
      </w:r>
    </w:p>
    <w:p>
      <w:pPr>
        <w:spacing w:after="0" w:line="158" w:lineRule="exact"/>
        <w:rPr>
          <w:sz w:val="20"/>
          <w:szCs w:val="20"/>
          <w:color w:val="auto"/>
        </w:rPr>
      </w:pPr>
    </w:p>
    <w:p>
      <w:pPr>
        <w:jc w:val="both"/>
        <w:ind w:left="980" w:hanging="324"/>
        <w:spacing w:after="0" w:line="261"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three industrial properties located in our Phoenix market, totaling approximately 1.8 million square feet of GLA, from our Joint Venture for an aggregate price of $245.3 million, excluding transaction costs. The purchase price is net of our economic share of gain on sale and incentive fees we earned on the sale as well as other deferred fees. We also acquired a 0.1 million square foot industrial property in our Baltimore/D.C. market for a purchase price of $31.4 million, excluding transaction costs.</w:t>
      </w:r>
    </w:p>
    <w:p>
      <w:pPr>
        <w:spacing w:after="0" w:line="1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one income-producing land parcel in our Northern California market for a purchase price of $10.6 million, excluding transaction costs and approximately 61.4 acres of land for development in our Philadelphia market for a purchase price of $15.7 million, excluding transaction costs.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seven industrial properties totaling approximately 0.3 million square feet of GLA, along with a land parcel, for gross proceeds of $42.3 million.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completed the following financing activities during the year ended December 31, 2025:</w:t>
      </w:r>
    </w:p>
    <w:p>
      <w:pPr>
        <w:spacing w:after="0" w:line="144"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declared an annual cash dividend of $1.78 per common share or Unit, an increase of 20.3% from 2024.</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Fitch Ratings upgraded our long-term issuer default rating and underlying unsecured investments to BBB+ from BBB.</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we issued $450.0 million of senior notes due January 2031, bearing a coupon rate of 5.25%.</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exercised our first one-year extension option related to our $300.0 million term loan, extending the maturity date to August 2026 and amended our $200.0 million term loan to, among other things, extend the maturity to March 2028, with two optional one-year extensions.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forward-starting swaps with an aggregate notional value of $350.0 million to fix SOFR on our unsecured term loans, replacing expiring swaps and extending hedge coverage through the maturity dates of our unsecured term loans.</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our Unsecured Credit Facility to, among other changes, increase the borrowing capacity by $100.0 million to $850.0 million, eliminate the 10 basis point SOFR adjustment and extend the maturity date to March 2029, with two optional six-month extensions.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we had $664.9 million of available borrowing capacity under our Unsecured Credit Facility and held $72.7 million in cash and cash equivalents, excluding our Joint Venture partner's 6% share that we consolidate and report in our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2025 to Year Ended December 31, 2024</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tables below summarize our revenues, property expenses and depreciation and other amortization by various categories for the years ended December 31, 2025 and 2024.</w:t>
      </w:r>
    </w:p>
    <w:p>
      <w:pPr>
        <w:spacing w:after="0" w:line="10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Same Store Properties: </w:t>
      </w:r>
      <w:r>
        <w:rPr>
          <w:rFonts w:ascii="Times New Roman" w:cs="Times New Roman" w:eastAsia="Times New Roman" w:hAnsi="Times New Roman"/>
          <w:sz w:val="18"/>
          <w:szCs w:val="18"/>
          <w:color w:val="auto"/>
        </w:rPr>
        <w:t>Same store properties include those that were owned and in service prior to January 1, 2024 and remained in service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Same store properties also includes developments and redevelopments placed in service prior to January 1, 2024. A property is considered placed in service when it meets one of the following criteria: (i) acquired properties with occupancy of at least 75% at acquisition, unless we anticipate tenant move-outs within two years of ownership would reduce occupancy below 75%; (ii) acquired properties with occupancy less than 75% at acquisition are placed in service upon reaching the earlier of 90% occupancy or one year subsequent to acquisition; (iii) developments, redevelopments and acquired income-producing land parcels for which our ultimate intent is to redevelop or develop on the land parcel are placed in service upon the earlier of reaching 90% occupancy or one year after construction completion; and (iv) properties acquired with occupancy greater than 75% but with anticipated move out within two years of ownership, are placed in service upon the earlier of reaching 90% occupancy or twelve months after tenant move out. Properties are moved from the same store category to the redevelopment classification when projected capital expenditures are estimated to exceed 20% of the property's undepreciated gross book value.</w:t>
      </w:r>
    </w:p>
    <w:p>
      <w:pPr>
        <w:spacing w:after="0" w:line="131"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Acquired Properties: </w:t>
      </w:r>
      <w:r>
        <w:rPr>
          <w:rFonts w:ascii="Times New Roman" w:cs="Times New Roman" w:eastAsia="Times New Roman" w:hAnsi="Times New Roman"/>
          <w:sz w:val="18"/>
          <w:szCs w:val="18"/>
          <w:color w:val="auto"/>
        </w:rPr>
        <w:t>Acquired properties are properties that were purchased subsequent to December 31, 2023 and held as an operating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December 31, 2025.</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Sold Properties: </w:t>
      </w:r>
      <w:r>
        <w:rPr>
          <w:rFonts w:ascii="Times New Roman" w:cs="Times New Roman" w:eastAsia="Times New Roman" w:hAnsi="Times New Roman"/>
          <w:sz w:val="18"/>
          <w:szCs w:val="18"/>
          <w:color w:val="auto"/>
        </w:rPr>
        <w:t>Sold properties are properties that were disposed of subsequent to December 31, 2023.</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Developments and Redevelopments: </w:t>
      </w:r>
      <w:r>
        <w:rPr>
          <w:rFonts w:ascii="Times New Roman" w:cs="Times New Roman" w:eastAsia="Times New Roman" w:hAnsi="Times New Roman"/>
          <w:sz w:val="17"/>
          <w:szCs w:val="17"/>
          <w:color w:val="auto"/>
        </w:rPr>
        <w:t>Developments and redevelopments (collectively referred to as "(Re)Developments") include properties that were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(i) not substantially complete 12 months prior to January 1, 2024; or (ii) not stabilized prior to January 1, 2024.</w:t>
      </w:r>
    </w:p>
    <w:p>
      <w:pPr>
        <w:spacing w:after="0" w:line="1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Revenues and Property Expenses: </w:t>
      </w:r>
      <w:r>
        <w:rPr>
          <w:rFonts w:ascii="Times New Roman" w:cs="Times New Roman" w:eastAsia="Times New Roman" w:hAnsi="Times New Roman"/>
          <w:sz w:val="18"/>
          <w:szCs w:val="18"/>
          <w:color w:val="auto"/>
        </w:rPr>
        <w:t>Other revenues are derived from the operations of properties not placed in service under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discussed above, the operations of our maintenance company, interest income, joint venture fees and other miscellaneous revenues. Other property expenses are derived from the operations of properties not placed in service under one of the categories discussed above, the operations of our maintenance company, vacant land expenses and other miscellaneous regional expenses.</w:t>
      </w:r>
    </w:p>
    <w:p>
      <w:pPr>
        <w:spacing w:after="0" w:line="12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one industrial property, totaling approximately 0.1 million square feet of GLA, was taken out of service with the intent for future redevelopment. As a result of taking this industrial property out of service, the results of operations associated with this property were reclassified from the same store property classification to the other classification.</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future financial condition and results of operations, including rental revenues, may be impacted by the future acquisition, (re)development and sale of properties. Our future revenues and expenses may vary materially from historical rates.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net income was $264.1 million and $296.0 million for the years ended December 31, 2025 and 2024, respectively.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2025 and 2024, the average daily occupancy rate of our same store properties was 94.9% and 95.4%,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9"/>
                <w:szCs w:val="19"/>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 Properties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659,878</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34,071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Properties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10,945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737.0 %</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Sold Properties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(9,735)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 Developments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24,109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131.5 %</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(1,955)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57,435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Revenues from same store properties increased $34.1 million primarily due to increases in rental rates and tenant recoveries, offset by a decrease in occupancy. Revenues from acquired properties increased $10.9 million due to the nine industrial properties acquired subsequent to December 31, 2023 totaling approximately 2.1 million square feet of GLA. Revenues from sold properties decreased $9.7 million due to the 29 industrial properties sold subsequent to December 31, 2023 totaling approximately 1.5 million square feet of GLA. Revenues from (re)developments increased $24.1 million due to an increase in occupancy and tenant recoveries. Revenues from other decreased $2.0 million due to a decrease in interest income, a decrease in revenues from properties that were previously occupied and a decrease in joint venture fees, offset by legal settlement proceeds.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EXPENSES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 Properties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161,373</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293"/>
              <w:spacing w:after="0"/>
              <w:rPr>
                <w:sz w:val="20"/>
                <w:szCs w:val="20"/>
                <w:color w:val="auto"/>
              </w:rPr>
            </w:pPr>
            <w:r>
              <w:rPr>
                <w:rFonts w:ascii="Times New Roman" w:cs="Times New Roman" w:eastAsia="Times New Roman" w:hAnsi="Times New Roman"/>
                <w:sz w:val="18"/>
                <w:szCs w:val="18"/>
                <w:color w:val="auto"/>
                <w:w w:val="98"/>
              </w:rPr>
              <w:t>8,094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Properties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8"/>
              </w:rPr>
              <w:t>1,645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421.8 %</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Sold Properties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8"/>
              </w:rPr>
              <w:t>(2,074)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 Developments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8"/>
              </w:rPr>
              <w:t>3,054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color w:val="auto"/>
                <w:w w:val="98"/>
              </w:rPr>
              <w:t>(2,060)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8"/>
              </w:rPr>
              <w:t>8,659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Property expenses include real estate taxes, repairs and maintenance, property management, utilities, insurance and other property related expenses. Property expenses from same store properties increased $8.1 million primarily due to increases in real estate taxes and repairs and maintenance expenses. Property expenses from acquired properties increased $1.6 million due to properties acquired subsequent to December 31, 2023. Property expenses from sold properties decreased $2.1 million due to properties sold subsequent to December 31, 2023. Property expenses from (re)developments increased $3.1 million primarily due to the substantial completion of developments. Property expenses from other decreased $2.1 million primarily due to the capitalization of real estate taxes related to ongoing construction preparation activities on certain land parcels during the year ended December 31, 2025 as well as demolition costs incurred during the year ended December 31, 2024 to prepare certain land sites for construction.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 remained relatively unchanged.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Joint Venture development services expense, representing payments made to a third party for property development assistance within the Joint Venture, decreased by $0.9 million, or 58.9%. This decrease is primarily attributable to a reduction in development activities by our Joint Venture during the year ended December 31, 2025, compared to the year ended December 31,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OTHER AMORTIZATION</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 Properties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157,639</w:t>
            </w:r>
          </w:p>
        </w:tc>
        <w:tc>
          <w:tcPr>
            <w:tcW w:w="1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Properties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1,037.7 %</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Sold Properties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 Developments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Furniture, Fixtures and Equipment and Other</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Other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Depreciation and other amortization from same store properties remained relatively unchanged. Depreciation and other amortization from acquired properties increased $8.1 million due to properties acquired subsequent to December 31, 2023. Depreciation and other amortization from sold properties decreased $1.6 million due to properties sold subsequent to December 31, 2023. Depreciation and other amortization from (re)developments increased $6.9 million primarily due to an increase in depreciation and amortization related to completed developments. Depreciation from corporate furniture, fixtures and equipment and other decreased $1.6 million due to certain improvements on land parcels, for which our ultimate intent is to redevelop or develop, becoming fully depreciated.</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recognized $26.9 million of gain on sale of real estate related to the sale of seven industrial properties totaling approximately 0.3 million square feet of GLA and a land parcel. For the year ended December 31, 2024, we recognized $112.0 million of gain on sale of real estate related to the sale of 22 industrial properties totaling approximately 1.2 million square feet of GLA.</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expense increased by $1.9 million, or 2.3%, primarily due to a higher weighted average debt balance of $2,392.4 million for the year ended December 31, 2025, as compared to $2,220.7 million for the year ended December 31, 2024, offset by a decrease in the weighted average interest rate to 4.08% for the year ended December 31, 2025 as compared to 4.11% for the year ended December 31, 2024 and an increase in capitalized interest of $4.5 million during the year ended December 31, 2025 as compared to the year ended December 31, 2024.</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Amortization of debt issuance costs increased by $1.4 million, or 38.0%, primarily due to financing costs incurred related to the amendment and restatement of the Unsecured Credit Facility, the amendment and restatement of our $200.0 million term loan and the issuance of $450.0 million of senior notes.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income of joint venture increased by $30.4 million, or 707.2%, primarily due to our pro-rata share of gain from the sales of real estate by the Joint Venture and related incentive fees. Both periods include the 6% interest held by our partner in the Joint Venture, which is consolidated and reported in our financial statements.</w:t>
      </w:r>
    </w:p>
    <w:p>
      <w:pPr>
        <w:spacing w:after="0" w:line="12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Income tax expense increased $9.2 million, or 151.6%, primarily due to an increase in our pro-rata share of taxable gain and incentive fees from the Joint Venture.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2024 to Year Ended December 31, 2023</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discussion of changes in our results of operations between 2024 and 2023 can be found in "Item 7 - Management's Discussion and Analysis of Financial Condition and Results of Operations - Comparison of Year Ended December 31, 2024 to Year Ended December 31, 2023" of the Company's Annual Report on Form 10-K for the fiscal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 critical accounting policy is one that involves an estimate or assumption that is subjective and requires management judgment about the effect of a matter that is inherently uncertain and material to an entity's financial condition and results of operations. Of the significant accounting policies discussed in Note 2 to the Consolidated Financial Statements, we believe the following policies relate to the more significant judgments and estimates used in the preparation of our Consolidated Financial Statements:</w:t>
      </w:r>
    </w:p>
    <w:p>
      <w:pPr>
        <w:spacing w:after="0" w:line="124" w:lineRule="exact"/>
        <w:rPr>
          <w:sz w:val="20"/>
          <w:szCs w:val="20"/>
          <w:color w:val="auto"/>
        </w:rPr>
      </w:pPr>
    </w:p>
    <w:p>
      <w:pPr>
        <w:jc w:val="both"/>
        <w:ind w:left="980" w:hanging="324"/>
        <w:spacing w:after="0" w:line="254"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of Real Estate Assets: </w:t>
      </w:r>
      <w:r>
        <w:rPr>
          <w:rFonts w:ascii="Times New Roman" w:cs="Times New Roman" w:eastAsia="Times New Roman" w:hAnsi="Times New Roman"/>
          <w:sz w:val="18"/>
          <w:szCs w:val="18"/>
          <w:color w:val="auto"/>
        </w:rPr>
        <w:t>We allocate the purchase price of acquired real estate, including real estate acquired as a portfolio,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fair value of the assets acquired and liabilities assumed, which generally consists of land, buildings, tenant improvements, construction in progress, leasing commissions and deferred lease intangible assets and liabilities. The purchase price is allocated to the fair value of the tangible assets of an acquired property by valuing the property as if it were vacant. This valuation incorporates significant assumptions such as land comparables, discount rates, terminal capitalization rates and market rent assumptions. Above and below market lease intangibles are valued based on the present value of the difference between prevailing market rental rates and the in-place rental rates measured over a period equal to the remaining term of the lease for above market leases or the remaining term of the lease plus the term of any below market fixed rate renewal options for below market leases. The purchase price is further allocated to in-place lease values based on an estimate of the lease revenue expected during a reasonable lease-up period, assuming the property was vacant on the date of acquisition.</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Real Estate Assets: </w:t>
      </w:r>
      <w:r>
        <w:rPr>
          <w:rFonts w:ascii="Times New Roman" w:cs="Times New Roman" w:eastAsia="Times New Roman" w:hAnsi="Times New Roman"/>
          <w:sz w:val="18"/>
          <w:szCs w:val="18"/>
          <w:color w:val="auto"/>
        </w:rPr>
        <w:t>We review the carrying value of our long-lived real estate assets for possible impairment whenever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changes in circumstances indicate that their carrying amounts may not be recoverable. The judgments regarding the existence of indicators of impairment are based on the operating performance, market conditions, and our intent and ability to hold each property. The judgments regarding whether the carrying amounts of these assets may not be recoverable are based on estimates of future undiscounted cash flows from properties which include estimates of future operating performance and market conditions. If any real estate investment is considered permanently impaired, a loss is recorded to reduce the carrying value of the property to its estimated fair value. The impairment assessment and fair value measurement requires the use of estimates and assumptions, including the timing and amounts of cash flow projections, discount rates and terminal capitalization rates.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Company for the years ended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3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3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bottom w:val="single" w:sz="8" w:color="auto"/>
            </w:tcBorders>
          </w:tcPr>
          <w:p>
            <w:pPr>
              <w:spacing w:after="0"/>
              <w:rPr>
                <w:sz w:val="17"/>
                <w:szCs w:val="17"/>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461,263</w:t>
            </w:r>
          </w:p>
        </w:tc>
        <w:tc>
          <w:tcPr>
            <w:tcW w:w="8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352,488</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(524,179)</w:t>
            </w:r>
          </w:p>
        </w:tc>
        <w:tc>
          <w:tcPr>
            <w:tcW w:w="820" w:type="dxa"/>
            <w:vAlign w:val="bottom"/>
          </w:tcPr>
          <w:p>
            <w:pPr>
              <w:spacing w:after="0"/>
              <w:rPr>
                <w:sz w:val="19"/>
                <w:szCs w:val="19"/>
                <w:color w:val="auto"/>
              </w:rPr>
            </w:pPr>
          </w:p>
        </w:tc>
        <w:tc>
          <w:tcPr>
            <w:tcW w:w="11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9"/>
              </w:rPr>
              <w:t>(131,620)</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89,266</w:t>
            </w: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9"/>
              </w:rPr>
              <w:t>(213,030)</w:t>
            </w: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Operating Partnership for the years ended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3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bottom w:val="single" w:sz="8" w:color="auto"/>
            </w:tcBorders>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461,336</w:t>
            </w:r>
          </w:p>
        </w:tc>
        <w:tc>
          <w:tcPr>
            <w:tcW w:w="8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352,542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(524,179)</w:t>
            </w:r>
          </w:p>
        </w:tc>
        <w:tc>
          <w:tcPr>
            <w:tcW w:w="820" w:type="dxa"/>
            <w:vAlign w:val="bottom"/>
          </w:tcPr>
          <w:p>
            <w:pPr>
              <w:spacing w:after="0"/>
              <w:rPr>
                <w:sz w:val="19"/>
                <w:szCs w:val="19"/>
                <w:color w:val="auto"/>
              </w:rPr>
            </w:pPr>
          </w:p>
        </w:tc>
        <w:tc>
          <w:tcPr>
            <w:tcW w:w="11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9"/>
              </w:rPr>
              <w:t>(131,620)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89,193</w:t>
            </w: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9"/>
              </w:rPr>
              <w:t>(213,084)</w:t>
            </w: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cash flow for the year ended December 31, 2025, compared to the prior year are described as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increased $108.8 million, primarily due to the following:</w:t>
      </w:r>
    </w:p>
    <w:p>
      <w:pPr>
        <w:spacing w:after="0" w:line="119" w:lineRule="exact"/>
        <w:rPr>
          <w:sz w:val="20"/>
          <w:szCs w:val="20"/>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operating income ("NOI") from same store properties, acquired properties and recently developed properties of $56.3 million offset by a decrease in NOI due to the disposition of real estate of $7.7 million;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distributions from our Joint Venture of $54.6 million in 2025 as compared to 2024;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accounts payable, accrued expenses, other liabilities, rents received in advance and security deposits due to timing of cash payments; offset by:</w:t>
      </w:r>
    </w:p>
    <w:p>
      <w:pPr>
        <w:spacing w:after="0" w:line="54"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tenant accounts receivable, prepaid expenses and other assets due to timing of cash receipts.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$392.6 million, primarily due to the following:</w:t>
      </w:r>
    </w:p>
    <w:p>
      <w:pPr>
        <w:spacing w:after="0" w:line="119"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$340.9 million related to the acquisition, development and investment in real estate activity, primarily attributed to higher acquisition-related spending and increased expenditures for developments under construction during the year ended December 31, 2025 as compared to the year ended December 31, 2024;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$118.9 million in net proceeds received from the disposition of real estate in 2025 as compared to 2024; offset by:</w:t>
      </w:r>
    </w:p>
    <w:p>
      <w:pPr>
        <w:spacing w:after="0" w:line="117"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distributions of $70.9 million resulting from our Joint Venture in 2025 as compared to 2024.</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$89.3 million ($89.2 million for the Operating Partnership) in 2025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financing activities of $213.0 million ($213.1 million for the Operating Partnership) in 2024, resulting in an increase of cash provided by financing activities of $302.3 million, primarily due to the following:</w:t>
      </w:r>
    </w:p>
    <w:p>
      <w:pPr>
        <w:spacing w:after="0" w:line="6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senior unsecured notes in 2025 resulting in net proceeds of $443.8 million; offset by: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repayments of borrowings under our Unsecured Credit Facility of $82.0 million in 2025 as compared to 2024;</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dividend and unit distributions of $37.7 million due to the Company increasing the dividend rate in 2025 as well as a slight increase in common shares and units outstanding;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financing issuance costs of $12.4 million related to the amendment and restatement of the Unsecured Credit Facility and the $200.0 million unsecured term loan, the issuance of senior unsecured notes and the extension of the $300.0 million unsecured term loan in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December 31, 2025, our cash and cash equivalents were approximately $72.7 million, excluding our Joint Venture partner's share of cash and cash equivalents that we consolidate and report in our financial statements. We also had $664.9 million of availability for additional borrowings under our Unsecured Credit Facility as of December 31, 2025.</w:t>
      </w:r>
    </w:p>
    <w:p>
      <w:pPr>
        <w:spacing w:after="0" w:line="12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considered our short-term liquidity requirements through December 31, 2026, as well as the adequacy of our estimated cash flow from operations and other expected liquidity sources to meet those requirements. As of December 31, 2025, we had a $300.0 million unsecured term loan scheduled to mature in August 2026. On January 22, 2026, we amended and restated this unsecured term loan to, among other things, extend the maturity to January 2029, with two one-year extension options exercisable subject to the satisfaction of certain conditions, and to increase the principal amount by $75.0 million. Beyond this scheduled maturity, we believe that our principal short-term liquidity needs include funding normal recurring expenses, property acquisitions, developments, expansions, renovations and other nonrecurring capital improvements, debt service requirements, the minimum distributions required to maintain the Company's REIT status under the Code and distributions approved by the Company's Board of Directors. We anticipate meeting these short-term liquidity requirements primarily through cash flows generated by operating activities and proceeds from select asset dispositions. Additional sources of liquidity may include the issuance of other debt or equity securities or borrowings under our Unsecured Credit Facility, subject to market conditions.</w:t>
      </w:r>
    </w:p>
    <w:p>
      <w:pPr>
        <w:spacing w:after="0" w:line="140"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expect to meet our long-term liquidity requirements (beyond December 31, 2026) such as property acquisitions, development projects, scheduled debt maturities, major renovations, expansions and other nonrecurring capital improvements through a combination of select asset dispositions, long-term unsecured and secured indebtedness and the issuance of additional equity securities, subject to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8" w:name="page39"/>
    <w:bookmarkEnd w:id="38"/>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believe that we were in compliance with our financial covenants as of December 31, 2025, and we anticipate that we will be able to operate in compliance with our financial covenants in 2026. However, these financial covenants are complex and there can be no assurance that these provisions would not be interpreted by our lenders and noteholders in a manner that could impose and cause us to incur material costs and our access to borrowings on our Unsecured Credit Facility may be limited if we fail to meet any of these covenants. Total debt, exclusive of unamortized debt issuance costs and unamortized discounts, at December 31, 2025 and 2024 is detailed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5"/>
                <w:szCs w:val="15"/>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Balance at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76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Interest Rate at</w:t>
            </w:r>
          </w:p>
        </w:tc>
        <w:tc>
          <w:tcPr>
            <w:tcW w:w="1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Maturity in Years at</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Mortgage Loan Payable </w:t>
            </w:r>
            <w:r>
              <w:rPr>
                <w:rFonts w:ascii="Times New Roman" w:cs="Times New Roman" w:eastAsia="Times New Roman" w:hAnsi="Times New Roman"/>
                <w:sz w:val="23"/>
                <w:szCs w:val="23"/>
                <w:color w:val="auto"/>
                <w:vertAlign w:val="superscript"/>
              </w:rPr>
              <w:t>(A)</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Gross</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Unsecured Bonds </w:t>
            </w:r>
            <w:r>
              <w:rPr>
                <w:rFonts w:ascii="Times New Roman" w:cs="Times New Roman" w:eastAsia="Times New Roman" w:hAnsi="Times New Roman"/>
                <w:sz w:val="23"/>
                <w:szCs w:val="23"/>
                <w:color w:val="auto"/>
                <w:vertAlign w:val="superscript"/>
              </w:rPr>
              <w:t>(A)</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498,571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48,571</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Private Placement Notes </w:t>
            </w:r>
            <w:r>
              <w:rPr>
                <w:rFonts w:ascii="Times New Roman" w:cs="Times New Roman" w:eastAsia="Times New Roman" w:hAnsi="Times New Roman"/>
                <w:sz w:val="23"/>
                <w:szCs w:val="23"/>
                <w:color w:val="auto"/>
                <w:vertAlign w:val="superscript"/>
              </w:rPr>
              <w:t>(A)</w:t>
            </w: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82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1,448,571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998,571</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Loans, Gross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Unsecured Term Loan</w:t>
            </w:r>
          </w:p>
        </w:tc>
        <w:tc>
          <w:tcPr>
            <w:tcW w:w="1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2022 Unsecured Term Loan II </w:t>
            </w:r>
            <w:r>
              <w:rPr>
                <w:rFonts w:ascii="Times New Roman" w:cs="Times New Roman" w:eastAsia="Times New Roman" w:hAnsi="Times New Roman"/>
                <w:sz w:val="23"/>
                <w:szCs w:val="23"/>
                <w:color w:val="auto"/>
                <w:vertAlign w:val="superscript"/>
              </w:rPr>
              <w:t>(B)(E)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2022 Unsecured Term Loan </w:t>
            </w:r>
            <w:r>
              <w:rPr>
                <w:rFonts w:ascii="Times New Roman" w:cs="Times New Roman" w:eastAsia="Times New Roman" w:hAnsi="Times New Roman"/>
                <w:sz w:val="23"/>
                <w:szCs w:val="23"/>
                <w:color w:val="auto"/>
                <w:vertAlign w:val="superscript"/>
              </w:rPr>
              <w:t>(C)(E)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Unsecured Term Loan </w:t>
            </w:r>
            <w:r>
              <w:rPr>
                <w:rFonts w:ascii="Times New Roman" w:cs="Times New Roman" w:eastAsia="Times New Roman" w:hAnsi="Times New Roman"/>
                <w:sz w:val="23"/>
                <w:szCs w:val="23"/>
                <w:color w:val="auto"/>
                <w:vertAlign w:val="superscript"/>
              </w:rPr>
              <w:t>(D)(E)</w:t>
            </w: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1.83%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Unsecured Credit Facility </w:t>
            </w:r>
            <w:r>
              <w:rPr>
                <w:rFonts w:ascii="Times New Roman" w:cs="Times New Roman" w:eastAsia="Times New Roman" w:hAnsi="Times New Roman"/>
                <w:sz w:val="23"/>
                <w:szCs w:val="23"/>
                <w:color w:val="auto"/>
                <w:vertAlign w:val="superscript"/>
              </w:rPr>
              <w:t>(F)</w:t>
            </w: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182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1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2,565,866</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2,215,214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These loans have a fixed interest rate.</w:t>
      </w:r>
    </w:p>
    <w:p>
      <w:pPr>
        <w:spacing w:after="0" w:line="143" w:lineRule="exact"/>
        <w:rPr>
          <w:rFonts w:ascii="Times New Roman" w:cs="Times New Roman" w:eastAsia="Times New Roman" w:hAnsi="Times New Roman"/>
          <w:sz w:val="22"/>
          <w:szCs w:val="22"/>
          <w:b w:val="1"/>
          <w:bCs w:val="1"/>
          <w:color w:val="auto"/>
          <w:vertAlign w:val="superscript"/>
        </w:rPr>
      </w:pPr>
    </w:p>
    <w:p>
      <w:pPr>
        <w:jc w:val="both"/>
        <w:ind w:firstLine="8"/>
        <w:spacing w:after="0" w:line="255" w:lineRule="auto"/>
        <w:tabs>
          <w:tab w:leader="none" w:pos="206" w:val="left"/>
        </w:tabs>
        <w:numPr>
          <w:ilvl w:val="0"/>
          <w:numId w:val="2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The interest rate is based on SOFR, plus a 0.10% SOFR adjustment and a credit spread of 0.85%. We entered into interest rate swaps with an aggregate notional value of $300.0 million, that effectively fix the SOFR component and result in an all-in interest rate of 4.42% at December 31, 2025. These swaps mature in August 2027 ($150.0 million notional) and December 2028 ($150.0 million notional). The weighted average maturity reflected in the table above assumes the exercise of a one-year extension option, subject to the satisfaction of certain conditions.</w:t>
      </w:r>
    </w:p>
    <w:p>
      <w:pPr>
        <w:spacing w:after="0" w:line="134" w:lineRule="exact"/>
        <w:rPr>
          <w:rFonts w:ascii="Times New Roman" w:cs="Times New Roman" w:eastAsia="Times New Roman" w:hAnsi="Times New Roman"/>
          <w:sz w:val="22"/>
          <w:szCs w:val="22"/>
          <w:b w:val="1"/>
          <w:bCs w:val="1"/>
          <w:color w:val="auto"/>
          <w:vertAlign w:val="superscript"/>
        </w:rPr>
      </w:pPr>
    </w:p>
    <w:p>
      <w:pPr>
        <w:jc w:val="both"/>
        <w:ind w:firstLine="8"/>
        <w:spacing w:after="0" w:line="251" w:lineRule="auto"/>
        <w:tabs>
          <w:tab w:leader="none" w:pos="212" w:val="left"/>
        </w:tabs>
        <w:numPr>
          <w:ilvl w:val="0"/>
          <w:numId w:val="2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The interest rate is based on SOFR, plus a 0.10% SOFR adjustment and a credit spread of 0.85%. We entered into interest rate swaps with an aggregate notional value of $425.0 million, that effectively fix the SOFR component and result in an all-in interest rate of 3.64% at December 31, 2025. These swaps mature in September 2027.</w:t>
      </w:r>
    </w:p>
    <w:p>
      <w:pPr>
        <w:spacing w:after="0" w:line="136" w:lineRule="exact"/>
        <w:rPr>
          <w:rFonts w:ascii="Times New Roman" w:cs="Times New Roman" w:eastAsia="Times New Roman" w:hAnsi="Times New Roman"/>
          <w:sz w:val="22"/>
          <w:szCs w:val="22"/>
          <w:b w:val="1"/>
          <w:bCs w:val="1"/>
          <w:color w:val="auto"/>
          <w:vertAlign w:val="superscript"/>
        </w:rPr>
      </w:pPr>
    </w:p>
    <w:p>
      <w:pPr>
        <w:jc w:val="both"/>
        <w:ind w:firstLine="8"/>
        <w:spacing w:after="0" w:line="258" w:lineRule="auto"/>
        <w:tabs>
          <w:tab w:leader="none" w:pos="212" w:val="left"/>
        </w:tabs>
        <w:numPr>
          <w:ilvl w:val="0"/>
          <w:numId w:val="2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The interest rate is based on SOFR, plus a 0.10% SOFR adjustment and a credit spread of 0.85%. We entered into interest rate swaps with an aggregate notional value of $200.0 million, that effectively fix the SOFR component and result in an all-in interest rate of 1.83% at December 31, 2025. These swaps mature in February 2026. During the year ended December 31, 2025, we entered into forward-starting swaps commencing in February 2026, with an aggregate notional value of $200.0 million that fix SOFR at 3.15% and mature in February 2029. The weighted average maturity reflected in the table above assumes the exercise of two one-year extension options, subject to the satisfaction of certain conditions.</w:t>
      </w:r>
    </w:p>
    <w:p>
      <w:pPr>
        <w:spacing w:after="0" w:line="129" w:lineRule="exact"/>
        <w:rPr>
          <w:rFonts w:ascii="Times New Roman" w:cs="Times New Roman" w:eastAsia="Times New Roman" w:hAnsi="Times New Roman"/>
          <w:sz w:val="22"/>
          <w:szCs w:val="22"/>
          <w:b w:val="1"/>
          <w:bCs w:val="1"/>
          <w:color w:val="auto"/>
          <w:vertAlign w:val="superscript"/>
        </w:rPr>
      </w:pPr>
    </w:p>
    <w:p>
      <w:pPr>
        <w:jc w:val="both"/>
        <w:ind w:firstLine="8"/>
        <w:spacing w:after="0" w:line="303" w:lineRule="auto"/>
        <w:tabs>
          <w:tab w:leader="none" w:pos="185" w:val="left"/>
        </w:tabs>
        <w:numPr>
          <w:ilvl w:val="0"/>
          <w:numId w:val="29"/>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On January 22, 2026, we refinanced our $425.0 million unsecured term loan (the "2022 Unsecured Term Loan") and our $300.0 million unsecured term loan (the "2022 Unsecured Term Loan II") and we amended our $200.0 million unsecured term loan (the "2025 Unsecured Term Loan"). See Note 15 to the Consolidated Financial Statements for additional information.</w:t>
      </w:r>
    </w:p>
    <w:p>
      <w:pPr>
        <w:spacing w:after="0" w:line="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interest rate is variable and based on SOFR plus a credit spread of 0.775%, and requires us to pay a facility fee of 15 basis points. Our balance under our Unsecured Credit Facility changes depending on our cash needs and the interest rate and facility fee are each subject to adjustment based on our leverage and investment grade rating. The weighted average maturity reflected in the table above assumes the exercise of two six-month extension options, subject to the satisfaction of certain conditions. As of February 11, 2026, we had approximately $726.9 million available for additional borrowings under our Unsecured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9" w:name="page40"/>
    <w:bookmarkEnd w:id="39"/>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2025, our senior unsecured notes have been assigned credit ratings from Standard &amp; Poor's, Moody's and Fitch Ratings of BBB/Stable, Baa2/Stable and BBB+/Stable, respectively. A securities rating is not a recommendation to buy, sell or hold securities and is subject to revision or withdrawal at any time by the rating organization. In the event of a downgrade, we believe we would continue to have access to sufficient capital. However, our cost of borrowing would increase and our ability to access certain financial markets may be limited.</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other material cash requirements from known contractual and other obligations as of December 31, 2025 include an estimate of remaining payments on the completion of development projects under construction for the Company of $87.0 million which includes all costs necessary to place the properties into service.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we had letters of credit and performance bonds outstanding in an aggregate amount of $35.9 million. The letters of credit and performance bonds are not reflected as liabilities on our balance sheet. We have no other off-balance sheet arrangements that have or are reasonably likely to have a current or future effect on our financial condition, results of operation or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paid approximately $0.8 million and $0.8 million during the years ended December 31, 2025 and 2024, respectively, related to environmental expenditures. We estimate 2026 expenditures of approximately $1.8 million, which has been accrued at December 31, 2025. We further estimate that aggregate expenditures for currently identified environmental issues to be incurred in 2026 and beyond will not exceed approximately $4.5 million, which has been accrued at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Inflation had a minimal impact on the operating performance of our industrial properties across our markets prior to 2021, due to relatively low inflation rates. However, inflation increased significantly in 2021 and 2022, and although it has moderated since 2023, it remains elevated relative to pre-2021 levels. The future direction of inflation rates is uncertain. If inflation rates increase, this could impact our operations and financial performance. Many of our leases contain provisions designed to mitigate the adverse impact of inflation, including contractual rent escalations and requirements for tenants to pay their proportionate share of property operating expenses. Such expenses include common area expenses, utilities, insurance, real estate taxes, and certain capital expenditures for property maintenance. These measures help reduce our exposure to inflation-driven increases in property operating expenses. However, we remain exposed to certain non-reimbursable property operating expenses, such as costs associated with vacant premises. In addition, while some of our existing leases are below current market rental rates, we believe that lease renewals or re-leasing opportunities will allow us to adjust rental rates upward, aligning them more closely with current market rates. These adjustments could help offset inflationary pressures on our operating expenses. Inflation also continues to affect our development portfolio. Rising costs for materials and other costs increase the expense of property development, impacting our ability to achieve anticipated returns on these projects. With respect to our outstanding indebtedness, we periodically evaluate our exposure to interest rate fluctuations, and may continue to enter into derivative instruments that mitigate, but do not eliminate, the impact of interest rate changes on our Unsecured Credit Facility and other variable-rate 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about our risk-management activities includes "forward-looking statements" that involve risk and uncertainties. Actual results could differ materially from those projected in the forward-looking statements. Our business subjects us to market risk from interest rates, as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analysis presents the hypothetical gain or loss in earnings, cash flows or fair value of the financial instruments and derivative instruments that are held by us at December 31, 2025 that are sensitive to changes in interest rates. While this analysis may have some use as a benchmark, it should not be viewed as a forecast.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also face risks that are either non-financial or non-quantifiable. Such risks principally include credit risk and legal risk and are not represented in the following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December 31, 2025, $2,379.9 million, or 92.9%, of our total debt, excluding unamortized debt issuance costs, was fixed rate debt, while $183.0 million, or 7.1%, was variable rate debt. At December 31, 2024, $1,933.2 million, or 87.3%, of our total debt, excluding unamortized debt issuance costs, was fixed rate debt, while $282.0 million, or 12.7%, was variable rate debt. The fixed rate debt amounts at December 31, 2025 and 2024 include variable rate debt that has been effectively swapped to a fixed rate through the use of derivative instruments with an aggregate notional amount outstanding of $925.0 million. These derivatives mitigate our exposure to our Unsecured Term Loans' variable interest rates, which are based on SOFR. The use of derivative financial instruments allows us to manage the risk of interest rate increases and the related impact on our earnings and cash flows. We designated all of the swaps related to our Unsecured Term Loans as cash flow hedges. Currently, we do not enter into financial instruments for trading or other speculative purposes. See "Material Cash Requirements" for further details on the derivative instruments. As of December 31, 2025 and 2024, the estimated fair value of our debt was approximately $2,525.4 million and $2,125.3 million, respectively, based on our estimate of the then-current market interest rates.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entered into forward-starting swaps with an aggregate notional value of $350.0 million to fix SOFR on our unsecured term loans, replacing expiring swaps and extending hedge coverage. We designated the swaps as cash flow hedges. See Note 12 to the Consolidated Financial Statements for a discussion of the swaps.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value of the debt, but not our earnings or cash flows. Conversely, for variable rate debt, changes in the base interest rate used to calculate the all-in interest rate generally do not impact the fair value of the debt, but would affect our future earnings and cash flows. The interest rate risk and changes in fair market value of fixed rate debt generally do not have a significant impact on us until we are required to refinance such debt. See Note 4 to the Consolidated Financial Statements for a discussion of the maturity dates of our various fixed rate debt.</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variable rate debt is subject to risk based upon prevailing market interest rates. If the SOFR rate component relevant to our variable rate debt were to have increased 10%, we estimate that our interest expense during the years ended December 31, 2025 and 2024 would have increased by approximately $0.8 million and $1.5 million, respectively, based on our average outstanding floating-rate debt during the years ended December 31, 2025 and 2024. Additionally, if weighted average interest rates on our weighted average fixed rate debt were to have increased by 10% due to refinancing, interest expense would have increased by approximately $9.0 million and $7.5 million during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Supplemental Earnings Measure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Investors in and industry analysts following the real estate industry utilize funds from operations ("FFO") and NOI as supplemental performance measures of an equity REIT. Historical cost accounting for real estate assets in accordance with accounting principles generally accepted in the United States of America ("GAAP") implicitly assumes that the value of real estate assets diminishes predictably over time through depreciation. Since real estate values instead have historically risen or fallen with market conditions, many industry analysts and investors prefer to supplement operating results that use historical cost accounting with measures such as FFO and NOI, among others. We provide information related to FFO and same store NOI ("SS NOI") both because such industry analysts are interested in such information, and because our management believes FFO and SS NOI are important performance measures. FFO and SS NOI are factors used by management in measuring our performance, including for purposes of determining the compensation of our executive officers under our 2025 incentive compensation plan.</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Neither FFO nor SS NOI should be considered as a substitute for net income, or any other measures derived in accordance with GAAP. Neither FFO nor SS NOI represents cash generated from operating activities in accordance with GAAP and neither should be considered as an alternative to cash flow from operating activities as a measure of our liquidity, nor is either indicative of funds available for our cash needs, including our ability to make cash distributions. Additionally, our method for calculating FFO and SS NOI may differ from those used by other real estate companies, limiting comparability.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From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National Association of Real Estate Investment Trusts ("NAREIT") has recognized and defined for the real estate industry a supplemental measure of REIT operating performance, FFO, that excludes historical cost depreciation, among other items, from net income determined in accordance with GAAP. FFO is a non-GAAP financial measure. FFO is calculated by us in accordance with the definition adopted by the Board of Governors of NAREIT and may not be comparable to other similarly titled measures of other companies. In accordance with the NAREIT definition of FFO, we calculate FFO to be equal to net income available to First Industrial Realty Trust, Inc.'s common stockholders and participating securities, plus depreciation and other amortization of real estate, plus impairment of real estate, minus gain or plus loss on sale of real estate, net of any income tax provision or benefit associated with the sale of real estate. We also exclude the same adjustments from our share of net income from an unconsolidated joint venture.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the use of FFO available to common stockholders and participating securities, combined with net income (which remains the primary measure of performance), improves the understanding of operating results of REITs among the investing public and makes comparisons of REIT operating results more meaningful. Management believes that, by excluding gains or losses related to sales of real estate assets, impairment of real estate assets and real estate asset depreciation and amortization, investors and analysts are able to identify the operating results of the long-term assets that form the core of a REIT's activity and use these operating results for assistance in comparing these operating results between periods or to those of different companies.</w:t>
      </w:r>
    </w:p>
    <w:p>
      <w:pPr>
        <w:spacing w:after="0" w:line="21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net income available to common stockholders and participating securities to the calculation of FFO available to common stockholders and participating securities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6"/>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 Available to First Industrial Realty Trust, Inc.'s Common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and Participating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270,997</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Other Amortization of Real Estate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130,062</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Other Amortization of Real Estate in the Joint Venture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0" w:type="dxa"/>
            <w:vAlign w:val="bottom"/>
          </w:tcPr>
          <w:p>
            <w:pPr>
              <w:spacing w:after="0"/>
              <w:rPr>
                <w:sz w:val="1"/>
                <w:szCs w:val="1"/>
                <w:color w:val="auto"/>
              </w:rPr>
            </w:pPr>
          </w:p>
        </w:tc>
      </w:tr>
      <w:tr>
        <w:trPr>
          <w:trHeight w:val="175"/>
        </w:trPr>
        <w:tc>
          <w:tcPr>
            <w:tcW w:w="58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 on Sale of Real Estate (Including Incentive Fees) from the Joint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Venture</w:t>
            </w:r>
          </w:p>
        </w:tc>
        <w:tc>
          <w:tcPr>
            <w:tcW w:w="220" w:type="dxa"/>
            <w:vAlign w:val="bottom"/>
          </w:tcPr>
          <w:p>
            <w:pPr>
              <w:spacing w:after="0"/>
              <w:rPr>
                <w:sz w:val="21"/>
                <w:szCs w:val="21"/>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 Excluded from FFO</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 Share of Adjustments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155"/>
        </w:trPr>
        <w:tc>
          <w:tcPr>
            <w:tcW w:w="5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Funds from Operations Available to First Industrial Realty Trust, Inc.'s</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322,667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255,959</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Stockholders and Participating Securities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Same Store Net Operating Income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cash basis SS NOI to be a useful non-GAAP supplemental measure of our operating performance. We believe SS NOI enhances the comparability of a company's real estate portfolio to that of other real estate companies. SS NOI reflects the results of operations of properties that were owned and placed in service prior to January 1, 2024, and remained in service through the end of the reporting period.</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SS NOI as revenues minus property expenses such as real estate taxes, repairs and maintenance, property management, utilities, insurance and other expenses. SS NOI is further adjusted to exclude the NOI of properties that are not included in the same store pool. Additionally, we exclude the impact of straight-line rent, above and below market rent amortization and lease termination fees, as we believe excluding them provides a more meaningful reflection of cash-basis rental growth and allows for a more consistent year-over-year analysis of property-level performance. SS NOI does not include depreciation and amortization, general and administrative expense, interest expense, income tax benefit and expense, equity in income or loss from joint venture, joint venture fees and joint venture development services expense.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primary factors influencing SS NOI are occupancy levels, changes in rental rates and fluctuations in tenant recoveries. Our ability to grow SS NOI is largely dependent on our success in leasing space and recovering property operating costs from tenants under existing lease agreements.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same store revenues and property expenses, as disclosed in the results of operations and reconciled to revenues and expenses reflected on the statements of operations, to SS NOI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625,807</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Same Store Property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(153,279)</w:t>
            </w:r>
          </w:p>
        </w:tc>
      </w:tr>
      <w:tr>
        <w:trPr>
          <w:trHeight w:val="223"/>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 Store Net Operating Income Before Same Store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472,528</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 Adjustments: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 (Below) Market Lease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 Fees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Same Store Net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487,623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459,799</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net income available to common stockholders and participating securities to cash basis SS NOI without lease termination fees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r>
      <w:tr>
        <w:trPr>
          <w:trHeight w:val="23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 and Participating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287,554</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82,973</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 of Real Estate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171,207</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 of Real Estate in the Joint Venture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 Allocable to FFO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Noncontrolling Interests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FFO from Joint Venture Attributable to the Noncontrolling Interest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Corporate FF&amp;E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(111,970)</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 from Joint Venture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 Excluded from FFO</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40,935</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FFO from Joint Venture, Net of Noncontrolling Interest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23"/>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485,291</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Non-Same Store Net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r>
      <w:tr>
        <w:trPr>
          <w:trHeight w:val="223"/>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 Store Net Operating Income Before Same Store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472,528</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(Below) Market Lease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Termination Fees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48"/>
        </w:trPr>
        <w:tc>
          <w:tcPr>
            <w:tcW w:w="8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 Store Net Operating Income (Cash Basis without Termination Fees)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459,799</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jc w:val="both"/>
        <w:ind w:firstLine="445"/>
        <w:spacing w:after="0" w:line="276" w:lineRule="auto"/>
        <w:rPr>
          <w:sz w:val="20"/>
          <w:szCs w:val="20"/>
          <w:color w:val="auto"/>
        </w:rPr>
      </w:pPr>
      <w:r>
        <w:rPr>
          <w:rFonts w:ascii="Times New Roman" w:cs="Times New Roman" w:eastAsia="Times New Roman" w:hAnsi="Times New Roman"/>
          <w:sz w:val="17"/>
          <w:szCs w:val="17"/>
          <w:color w:val="auto"/>
        </w:rPr>
        <w:t>On January 22, 2026, we refinanced the 2022 Unsecured Term Loan to, among other things, extend its maturity date to January 2030 (with our option to extend the maturity date of the loan by one year) and eliminate the 10 basis point SOFR adjustment. We also refinanced the 2022 Unsecured Term Loan</w:t>
      </w:r>
    </w:p>
    <w:p>
      <w:pPr>
        <w:spacing w:after="0" w:line="1" w:lineRule="exact"/>
        <w:rPr>
          <w:sz w:val="20"/>
          <w:szCs w:val="20"/>
          <w:color w:val="auto"/>
        </w:rPr>
      </w:pPr>
    </w:p>
    <w:p>
      <w:pPr>
        <w:jc w:val="both"/>
        <w:ind w:firstLine="8"/>
        <w:spacing w:after="0" w:line="255" w:lineRule="auto"/>
        <w:tabs>
          <w:tab w:leader="none" w:pos="1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among other things, extend its maturity date to January 2029 (with our option to extend the maturity date two years via two one-year extension options), increase the principal amount of the loan to $375.0 million and eliminate the 10 basis point SOFR adjustment. In conjunction with these refinancings, we also amended the 2025 Unsecured Term Loan to, among other things, eliminate the 10 basis point SOFR adjustment.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Response to this item is included in Item 7 "Management's Discussion and Analysis of Financial Condition and Results of Operations" above.</w:t>
      </w:r>
    </w:p>
    <w:p>
      <w:pPr>
        <w:spacing w:after="0" w:line="21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Index to Financial Statements and Financial Statement Schedule included in Item 15.</w:t>
      </w:r>
    </w:p>
    <w:p>
      <w:pPr>
        <w:spacing w:after="0" w:line="20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40" w:top="1089" w:right="899" w:bottom="1440" w:gutter="0" w:footer="0" w:header="0"/>
        </w:sectPr>
      </w:pPr>
    </w:p>
    <w:bookmarkStart w:id="45" w:name="page46"/>
    <w:bookmarkEnd w:id="45"/>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periodic reports pursuant to the Exchange Act is recorded, processed, summarized and reported within the time periods specified in the SEC's rules and forms, and that such information is accumulated and communicated to management, including the Company's principal executive officer and principal financial officer, as appropriate, to allow timely decisions regarding required financial disclosure.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management, including the Company's principal executive officer and principal financial officer, of the effectiveness of the design and operation of its disclosure controls and procedures pursuant to Exchange Act Rule 13a-15(b) as of the end of the period covered by this report. Based upon this evaluation, the Company's principal executive officer and principal financial officer concluded that its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the Company's internal control over financial reporting as of December 31, 2025. In making its assessment of internal control over financial reporting, management used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has concluded that, as of December 31, 2025, the Company's internal control over financial reporting was effective.</w:t>
      </w:r>
    </w:p>
    <w:p>
      <w:pPr>
        <w:spacing w:after="0" w:line="17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PricewaterhouseCoopers LLP, an independent registered public accounting firm, as stated in their report which appears herein within Item 15. See 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fourth quarter of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Operating Partnership maintains disclosure controls and procedures that are designed to ensure that information required to be disclosed in its periodic reports pursuant to the Exchange Act is recorded, processed, summarized and reported within the time periods specified in the SEC's rules and forms, and that such information is accumulated and communicated to management, including the Company's principal executive officer and principal financial officer, on behalf of the Company in its capacity as the general partner of the Operating Partnership, as appropriate, to allow timely decisions regarding required financial disclosure.</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Operating Partnership carried out an evaluation, under the supervision and with the participation of management, including the Company's principal executive officer and principal financial officer, on behalf of the Company in its capacity as the general partner of the Operating Partnership, of the effectiveness of the design and operation of the Operating Partnership's disclosure controls and procedures pursuant to Exchange Act Rule 13a-15(b) as of the end of the period covered by this report. Based upon this evaluation, the Company's principal executive officer and principal financial officer, on behalf of the Company in its capacity as the general partner of the Operating Partnership, concluded that the Operating Partnership's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The Operating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the Operating Partnership's internal control over financial reporting as of December 31, 2025. In making its assessment of internal control over financial reporting, management used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has concluded that, as of December 31, 2025, the Operating Partnership's internal control over financial reporting was effective.</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effectiveness of the Operating Partnership's internal control over financial reporting as of December 31, 2025 has been audited by PricewaterhouseCoopers LLP, an independent registered public accounting firm, as stated in their report which appears herein within Item 15. See 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that occurred during the fourth quarter of 2025 that has materially affected, or is reasonably likely to materially affect, the Operating Partnership's internal control over financial reporting.</w:t>
      </w:r>
    </w:p>
    <w:p>
      <w:pPr>
        <w:spacing w:after="0" w:line="14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adopted or terminated any Rule 10b5-1 trading arrangement or non-Rule 10b5-1 trading arrangement (as such terms are defined in Item 408 of Regulation S-K of the Securities Act of 1933).</w:t>
      </w:r>
    </w:p>
    <w:p>
      <w:pPr>
        <w:spacing w:after="0" w:line="22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jc w:val="right"/>
        <w:ind w:left="20" w:right="30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Item 10, 11, 12, 13 and 14.           </w:t>
      </w:r>
      <w:r>
        <w:rPr>
          <w:rFonts w:ascii="Times New Roman" w:cs="Times New Roman" w:eastAsia="Times New Roman" w:hAnsi="Times New Roman"/>
          <w:sz w:val="18"/>
          <w:szCs w:val="18"/>
          <w:b w:val="1"/>
          <w:bCs w:val="1"/>
          <w:i w:val="1"/>
          <w:iCs w:val="1"/>
          <w:color w:val="auto"/>
        </w:rPr>
        <w:t>Directors, Executive Officers and Corporate Governance, Executive Compensation, Security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Certain Beneficial Owners and Management and Related Stockholder Matters, Certain Relationships and</w:t>
      </w:r>
    </w:p>
    <w:p>
      <w:pPr>
        <w:ind w:left="3040"/>
        <w:spacing w:after="0"/>
        <w:rPr>
          <w:sz w:val="20"/>
          <w:szCs w:val="20"/>
          <w:color w:val="auto"/>
        </w:rPr>
      </w:pPr>
      <w:r>
        <w:rPr>
          <w:rFonts w:ascii="Times New Roman" w:cs="Times New Roman" w:eastAsia="Times New Roman" w:hAnsi="Times New Roman"/>
          <w:sz w:val="18"/>
          <w:szCs w:val="18"/>
          <w:b w:val="1"/>
          <w:bCs w:val="1"/>
          <w:i w:val="1"/>
          <w:iCs w:val="1"/>
          <w:color w:val="auto"/>
        </w:rPr>
        <w:t>Related Transactions and Director Independence and Principal Accountant Fees and Services</w:t>
      </w:r>
    </w:p>
    <w:p>
      <w:pPr>
        <w:spacing w:after="0" w:line="1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10, Item 11, Item 12, Item 13 and Item 14 is hereby incorporated or furnished, solely to the extent required by such item, from the Company's definitive proxy statement, which is expected to be filed with the SEC no later than 120 days after the end of the Company's fiscal year. Information from the Company's definitive proxy statement shall not be deemed to be "filed" or "soliciting material," or subject to liability for purposes of Section 18 of the Securities Exchange Act of 1934 to the maximum extent permitted under the Exchange Act.</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which governs transactions in the Company's securities by its directors, officers, employees, consultants, and contractors or the Company itself and is designed to promote compliance with insider trading laws, rules and regulations applicable to the Company. A copy of our insider trading policy is filed with this Annual Report on Form 10-K as Exhibit 19.1.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Statements and Financial Statement Schedule</w:t>
      </w:r>
    </w:p>
    <w:p>
      <w:pPr>
        <w:spacing w:after="0" w:line="173" w:lineRule="exact"/>
        <w:rPr>
          <w:sz w:val="20"/>
          <w:szCs w:val="20"/>
          <w:color w:val="auto"/>
        </w:rPr>
      </w:pPr>
    </w:p>
    <w:p>
      <w:pPr>
        <w:ind w:left="700" w:hanging="247"/>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Financial Statement Schedule and Exhibits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&amp; 2) See Index to Financial Statements and Financial Statement Schedule.</w:t>
      </w:r>
    </w:p>
    <w:p>
      <w:pPr>
        <w:spacing w:after="0" w:line="171" w:lineRule="exact"/>
        <w:rPr>
          <w:sz w:val="20"/>
          <w:szCs w:val="20"/>
          <w:color w:val="auto"/>
        </w:rPr>
      </w:pPr>
    </w:p>
    <w:p>
      <w:pPr>
        <w:ind w:firstLine="453"/>
        <w:spacing w:after="0" w:line="282" w:lineRule="auto"/>
        <w:tabs>
          <w:tab w:leader="none" w:pos="7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required by Item 601 of Regulation S-K are listed in the Exhibit Index on page 46 to 49 of this report,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3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4"/>
        </w:trPr>
        <w:tc>
          <w:tcPr>
            <w:tcW w:w="11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40" w:type="dxa"/>
            <w:vAlign w:val="bottom"/>
            <w:gridSpan w:val="33"/>
          </w:tcPr>
          <w:p>
            <w:pPr>
              <w:ind w:left="5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3"/>
        </w:trPr>
        <w:tc>
          <w:tcPr>
            <w:tcW w:w="680" w:type="dxa"/>
            <w:vAlign w:val="bottom"/>
            <w:tcBorders>
              <w:top w:val="single" w:sz="8" w:color="auto"/>
            </w:tcBorders>
            <w:gridSpan w:val="4"/>
          </w:tcPr>
          <w:p>
            <w:pPr>
              <w:jc w:val="center"/>
              <w:ind w:left="319"/>
              <w:spacing w:after="0"/>
              <w:rPr>
                <w:rFonts w:ascii="Times New Roman" w:cs="Times New Roman" w:eastAsia="Times New Roman" w:hAnsi="Times New Roman"/>
                <w:sz w:val="16"/>
                <w:szCs w:val="16"/>
                <w:color w:val="0000FF"/>
                <w:w w:val="99"/>
              </w:rPr>
            </w:pPr>
            <w:hyperlink r:id="rId6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60" w:type="dxa"/>
            <w:vAlign w:val="bottom"/>
            <w:tcBorders>
              <w:top w:val="single" w:sz="8" w:color="auto"/>
            </w:tcBorders>
            <w:gridSpan w:val="4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Amended and Restated Articles of Incorporation of the Company (incorporated by reference to Exhibit 3.1 of the Form 10-Q of the Company for the</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fiscal quarter ended June 30, 1996, File No. 1-13102)</w:t>
              </w:r>
            </w:hyperlink>
          </w:p>
        </w:tc>
        <w:tc>
          <w:tcPr>
            <w:tcW w:w="61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Third Amended and Restated Bylaws of the Company, dated May 7, 2015 (incorporated by reference to Exhibit 3.1 of the Form 8-K of the Company,</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filed May 7, 2015, File No. 1-13102)</w:t>
              </w:r>
            </w:hyperlink>
          </w:p>
        </w:tc>
        <w:tc>
          <w:tcPr>
            <w:tcW w:w="73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Articles of Amendment to the Company's Articles of Incorporation, dated June 20, 1994 (incorporated by reference to Exhibit 3.2 of the Form 10-Q of</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the Company for the fiscal quarter ended June 30, 1996, File No. 1-13102)</w:t>
              </w:r>
            </w:hyperlink>
          </w:p>
        </w:tc>
        <w:tc>
          <w:tcPr>
            <w:tcW w:w="500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Articles of Amendment to the Company's Articles of Incorporation, dated May 31, 1996 (incorporated by reference to Exhibit 3.3 of the Form 10-Q of</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the Company for the fiscal quarter ended June 30, 1996, File No. 1-13102)</w:t>
              </w:r>
            </w:hyperlink>
          </w:p>
        </w:tc>
        <w:tc>
          <w:tcPr>
            <w:tcW w:w="500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5">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5</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 xml:space="preserve">Articles Supplementary relating to the Company's Junior Participating Preferred Stock,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0.01 par value (incorporated by reference to Exhibit 4.10 of</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Form S-3 of the Company and First Industrial, L.P. dated September 24, 1997, Registration No. 333-29879)</w:t>
              </w:r>
            </w:hyperlink>
          </w:p>
        </w:tc>
        <w:tc>
          <w:tcPr>
            <w:tcW w:w="264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6">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6</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Articles of Amendment to the Company's Articles of Incorporation, dated May 12, 2011 (incorporated by reference to Exhibit 3.1 of the Form 8-K of the</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Company filed June 2, 2011, File No. 1-13102)</w:t>
              </w:r>
            </w:hyperlink>
          </w:p>
        </w:tc>
        <w:tc>
          <w:tcPr>
            <w:tcW w:w="696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7">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7</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Articles of Amendment to the Company's Articles of Incorporation, dated May 9, 2013 (incorporated by reference to Exhibit 3.1 of the Form 8-K of the</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Company filed May 10, 2013, File No. 1-13102)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8">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8</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Articles of Amendment to the Company's Articles of Incorporation (incorporated by reference to Exhibit 3.1 of the Form 8-K of the Company filed May</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40"/>
          </w:tcPr>
          <w:p>
            <w:pPr>
              <w:spacing w:after="0" w:line="142"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12, 2017, File No. 001-13102)</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6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9</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Thirteenth Amended and Restated Limited Partnership Agreement of First Industrial, L.P. (incorporated by reference to Exhibit 3.9 of the Company's</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Annual Report on Form 10-K for the year ended December 31, 2018, File No. 1-13102)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0">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Indenture, dated as of May 13, 1997, between First Industrial, L.P. and First Trust National Association, as Trustee (incorporated by reference to Exhibit</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of the Form 10-Q of the Company for the fiscal quarter ended March 31, 1997, as amended by Form 10-Q/A No. 1 of the Company filed May 30,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1997, File No. 1-13102)</w:t>
              </w:r>
            </w:hyperlink>
          </w:p>
        </w:tc>
        <w:tc>
          <w:tcPr>
            <w:tcW w:w="816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0">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2</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 xml:space="preserve">Supplemental Indenture No. 1, dated as of May 13, 1997, between First Industrial, L.P. and First Trust National Association as Trustee relating to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100</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million of 7.15% Notes due 2027 (incorporated by reference to Exhibit 4.2 of the Form 10-Q of the Company for the fiscal quarter ended March 31,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2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1997, as amended by Form 10-Q/A No. 1 of the Company filed May 30, 1997, File No. 1-13102)</w:t>
              </w:r>
            </w:hyperlink>
          </w:p>
        </w:tc>
        <w:tc>
          <w:tcPr>
            <w:tcW w:w="3280" w:type="dxa"/>
            <w:vAlign w:val="bottom"/>
            <w:tcBorders>
              <w:top w:val="single" w:sz="8" w:color="0000FF"/>
            </w:tcBorders>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1">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3</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7.</w:t>
              </w:r>
              <w:r>
                <w:rPr>
                  <w:rFonts w:ascii="Times New Roman" w:cs="Times New Roman" w:eastAsia="Times New Roman" w:hAnsi="Times New Roman"/>
                  <w:sz w:val="16"/>
                  <w:szCs w:val="16"/>
                  <w:u w:val="single" w:color="auto"/>
                  <w:color w:val="0000FF"/>
                </w:rPr>
                <w:t>60%</w:t>
              </w:r>
              <w:r>
                <w:rPr>
                  <w:rFonts w:ascii="Times New Roman" w:cs="Times New Roman" w:eastAsia="Times New Roman" w:hAnsi="Times New Roman"/>
                  <w:sz w:val="16"/>
                  <w:szCs w:val="16"/>
                  <w:color w:val="0000FF"/>
                </w:rPr>
                <w:t xml:space="preserve"> Notes due 2028 in principal amount of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200 million issued by First Industrial, L.P. (incorporated by reference to Exhibit 4.2 of the Form 8-K of</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First Industrial, L.P. dated July 15, 1998, File No. 333-21873)</w:t>
              </w:r>
            </w:hyperlink>
          </w:p>
        </w:tc>
        <w:tc>
          <w:tcPr>
            <w:tcW w:w="586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1">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4</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Supplemental Indenture No. 5, dated as of July 14, 1998, between First Industrial, L.P. and U.S. Bank Trust National Association, relating to First</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Industrial, L.P.'s 7.60% Notes due July 15, 2028 (incorporated by reference to Exhibit 4.1 of the Form 8-K of First Industrial, L.P. dated July 15,</w:t>
              </w:r>
            </w:hyperlink>
          </w:p>
        </w:tc>
        <w:tc>
          <w:tcPr>
            <w:tcW w:w="460" w:type="dxa"/>
            <w:vAlign w:val="bottom"/>
            <w:gridSpan w:val="17"/>
          </w:tcPr>
          <w:p>
            <w:pPr>
              <w:jc w:val="right"/>
              <w:ind w:right="160"/>
              <w:spacing w:after="0" w:line="142" w:lineRule="exact"/>
              <w:rPr>
                <w:rFonts w:ascii="Times New Roman" w:cs="Times New Roman" w:eastAsia="Times New Roman" w:hAnsi="Times New Roman"/>
                <w:sz w:val="16"/>
                <w:szCs w:val="16"/>
                <w:color w:val="0000FF"/>
                <w:w w:val="77"/>
              </w:rPr>
            </w:pPr>
            <w:hyperlink r:id="rId71">
              <w:r>
                <w:rPr>
                  <w:rFonts w:ascii="Times New Roman" w:cs="Times New Roman" w:eastAsia="Times New Roman" w:hAnsi="Times New Roman"/>
                  <w:sz w:val="16"/>
                  <w:szCs w:val="16"/>
                  <w:color w:val="0000FF"/>
                  <w:w w:val="77"/>
                </w:rPr>
                <w:t>1998,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File No. 333-21873)</w:t>
              </w:r>
            </w:hyperlink>
          </w:p>
        </w:tc>
        <w:tc>
          <w:tcPr>
            <w:tcW w:w="8500" w:type="dxa"/>
            <w:vAlign w:val="bottom"/>
            <w:tcBorders>
              <w:top w:val="single" w:sz="8" w:color="0000FF"/>
            </w:tcBorders>
            <w:gridSpan w:val="30"/>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2">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5</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Supplemental Indenture No. 7 dated as of April 15, 2002, between First Industrial, L.P. and U.S. Bank National Association, relating to First Industrial,</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L.P.’s 6.875% Notes due 2012 and 7.75% Notes due 2032 (incorporated by reference to Exhibit 4.1 of the Form 8-K of First Industrial, L.P. dated April</w:t>
              </w:r>
            </w:hyperlink>
          </w:p>
        </w:tc>
        <w:tc>
          <w:tcPr>
            <w:tcW w:w="160" w:type="dxa"/>
            <w:vAlign w:val="bottom"/>
            <w:gridSpan w:val="8"/>
          </w:tcPr>
          <w:p>
            <w:pPr>
              <w:jc w:val="right"/>
              <w:ind w:right="100"/>
              <w:spacing w:after="0"/>
              <w:rPr>
                <w:rFonts w:ascii="Times New Roman" w:cs="Times New Roman" w:eastAsia="Times New Roman" w:hAnsi="Times New Roman"/>
                <w:sz w:val="7"/>
                <w:szCs w:val="7"/>
                <w:color w:val="0000FF"/>
                <w:w w:val="75"/>
              </w:rPr>
            </w:pPr>
            <w:hyperlink r:id="rId72">
              <w:r>
                <w:rPr>
                  <w:rFonts w:ascii="Times New Roman" w:cs="Times New Roman" w:eastAsia="Times New Roman" w:hAnsi="Times New Roman"/>
                  <w:sz w:val="7"/>
                  <w:szCs w:val="7"/>
                  <w:color w:val="0000FF"/>
                  <w:w w:val="75"/>
                </w:rPr>
                <w:t>4,</w:t>
              </w:r>
            </w:hyperlink>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2002, File No. 333-21873)</w:t>
              </w:r>
            </w:hyperlink>
          </w:p>
        </w:tc>
        <w:tc>
          <w:tcPr>
            <w:tcW w:w="8320" w:type="dxa"/>
            <w:vAlign w:val="bottom"/>
            <w:tcBorders>
              <w:top w:val="single" w:sz="8" w:color="0000FF"/>
            </w:tcBorders>
            <w:gridSpan w:val="39"/>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2">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6</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Form of 7.75% Notes due 2032 issued by First Industrial, L.P. (incorporated by reference to Exhibit 4.3 of the Form 8-K of First Industrial, L.P., dated</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April 4, 2002, File No. 333-21873)</w:t>
              </w:r>
            </w:hyperlink>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294967277"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3">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7</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Description of the Registrant's Securities registered pursuant to Section 12 of the Securities Exchange Act of 1934 (incorporated by reference to Exhibit</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9</w:t>
              </w:r>
              <w:r>
                <w:rPr>
                  <w:rFonts w:ascii="Times New Roman" w:cs="Times New Roman" w:eastAsia="Times New Roman" w:hAnsi="Times New Roman"/>
                  <w:sz w:val="16"/>
                  <w:szCs w:val="16"/>
                  <w:color w:val="0000FF"/>
                </w:rPr>
                <w:t xml:space="preserve"> of the Form 10-K of the Company and the Operating Partnership, filed February 18, 2022, Company's File No. 1-13102 and Operating Partnership's</w:t>
              </w:r>
            </w:hyperlink>
          </w:p>
        </w:tc>
        <w:tc>
          <w:tcPr>
            <w:tcW w:w="100" w:type="dxa"/>
            <w:vAlign w:val="bottom"/>
            <w:gridSpan w:val="5"/>
          </w:tcPr>
          <w:p>
            <w:pPr>
              <w:spacing w:after="0"/>
              <w:rPr>
                <w:sz w:val="12"/>
                <w:szCs w:val="12"/>
                <w:color w:val="auto"/>
              </w:rPr>
            </w:pPr>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File No. 333-21873)</w:t>
              </w:r>
            </w:hyperlink>
          </w:p>
        </w:tc>
        <w:tc>
          <w:tcPr>
            <w:tcW w:w="8620" w:type="dxa"/>
            <w:vAlign w:val="bottom"/>
            <w:tcBorders>
              <w:top w:val="single" w:sz="8" w:color="0000FF"/>
            </w:tcBorders>
            <w:gridSpan w:val="36"/>
          </w:tcPr>
          <w:p>
            <w:pPr>
              <w:spacing w:after="0"/>
              <w:rPr>
                <w:sz w:val="12"/>
                <w:szCs w:val="12"/>
                <w:color w:val="auto"/>
              </w:rPr>
            </w:pPr>
          </w:p>
        </w:tc>
        <w:tc>
          <w:tcPr>
            <w:tcW w:w="120" w:type="dxa"/>
            <w:vAlign w:val="bottom"/>
            <w:gridSpan w:val="6"/>
          </w:tcPr>
          <w:p>
            <w:pPr>
              <w:spacing w:after="0"/>
              <w:rPr>
                <w:sz w:val="12"/>
                <w:szCs w:val="12"/>
                <w:color w:val="auto"/>
              </w:rPr>
            </w:pPr>
          </w:p>
        </w:tc>
        <w:tc>
          <w:tcPr>
            <w:tcW w:w="4294967277" w:type="dxa"/>
            <w:vAlign w:val="bottom"/>
          </w:tcPr>
          <w:p>
            <w:pPr>
              <w:spacing w:after="0"/>
              <w:rPr>
                <w:sz w:val="12"/>
                <w:szCs w:val="12"/>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4">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8</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Underwriting Agreement, dated May 12, 2025, by and among First Industrial Realty Trust, Inc., First Industrial, L.P. and J.P. Morgan Securities LLC,</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PNC Capital Markets LLC, RBC Capital Markets, LLC and Wells Fargo Securities, LLC, as representatives of the several underwriters named therein</w:t>
              </w:r>
            </w:hyperlink>
          </w:p>
        </w:tc>
        <w:tc>
          <w:tcPr>
            <w:tcW w:w="40" w:type="dxa"/>
            <w:vAlign w:val="bottom"/>
            <w:tcBorders>
              <w:bottom w:val="single" w:sz="8" w:color="0000FF"/>
            </w:tcBorders>
            <w:gridSpan w:val="2"/>
          </w:tcPr>
          <w:p>
            <w:pPr>
              <w:spacing w:after="0"/>
              <w:rPr>
                <w:sz w:val="12"/>
                <w:szCs w:val="12"/>
                <w:color w:val="auto"/>
              </w:rPr>
            </w:pPr>
          </w:p>
        </w:tc>
        <w:tc>
          <w:tcPr>
            <w:tcW w:w="280" w:type="dxa"/>
            <w:vAlign w:val="bottom"/>
            <w:gridSpan w:val="14"/>
          </w:tcPr>
          <w:p>
            <w:pPr>
              <w:spacing w:after="0"/>
              <w:rPr>
                <w:sz w:val="12"/>
                <w:szCs w:val="12"/>
                <w:color w:val="auto"/>
              </w:rPr>
            </w:pPr>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29"/>
          </w:tcPr>
          <w:p>
            <w:pPr>
              <w:spacing w:after="0" w:line="142"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(incorporated by reference to Exhibit 1.1 of the Form 8-K of the Company and the Operating Partnership, filed May 14, 2025, Company's File No. 1-</w:t>
              </w:r>
            </w:hyperlink>
          </w:p>
        </w:tc>
        <w:tc>
          <w:tcPr>
            <w:tcW w:w="280" w:type="dxa"/>
            <w:vAlign w:val="bottom"/>
            <w:gridSpan w:val="14"/>
          </w:tcPr>
          <w:p>
            <w:pPr>
              <w:spacing w:after="0"/>
              <w:rPr>
                <w:sz w:val="12"/>
                <w:szCs w:val="12"/>
                <w:color w:val="auto"/>
              </w:rPr>
            </w:pPr>
          </w:p>
        </w:tc>
        <w:tc>
          <w:tcPr>
            <w:tcW w:w="4294967277"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13102 and Operating Partnership's File No. 333-21873)</w:t>
              </w:r>
            </w:hyperlink>
          </w:p>
        </w:tc>
        <w:tc>
          <w:tcPr>
            <w:tcW w:w="6100" w:type="dxa"/>
            <w:vAlign w:val="bottom"/>
            <w:tcBorders>
              <w:top w:val="single" w:sz="8" w:color="0000FF"/>
            </w:tcBorders>
            <w:gridSpan w:val="15"/>
          </w:tcPr>
          <w:p>
            <w:pPr>
              <w:spacing w:after="0"/>
              <w:rPr>
                <w:sz w:val="12"/>
                <w:szCs w:val="12"/>
                <w:color w:val="auto"/>
              </w:rPr>
            </w:pPr>
          </w:p>
        </w:tc>
        <w:tc>
          <w:tcPr>
            <w:tcW w:w="360" w:type="dxa"/>
            <w:vAlign w:val="bottom"/>
            <w:gridSpan w:val="18"/>
          </w:tcPr>
          <w:p>
            <w:pPr>
              <w:spacing w:after="0"/>
              <w:rPr>
                <w:sz w:val="12"/>
                <w:szCs w:val="12"/>
                <w:color w:val="auto"/>
              </w:rPr>
            </w:pPr>
          </w:p>
        </w:tc>
        <w:tc>
          <w:tcPr>
            <w:tcW w:w="4294967277" w:type="dxa"/>
            <w:vAlign w:val="bottom"/>
          </w:tcPr>
          <w:p>
            <w:pPr>
              <w:spacing w:after="0"/>
              <w:rPr>
                <w:sz w:val="12"/>
                <w:szCs w:val="12"/>
                <w:color w:val="auto"/>
              </w:rPr>
            </w:pPr>
          </w:p>
        </w:tc>
      </w:tr>
      <w:tr>
        <w:trPr>
          <w:trHeight w:val="291"/>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5">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9</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Indenture, dated as of May 14, 2025, by and among First Industrial, L.P., First Industrial Realty Trust, Inc. and U.S. Bank Trust Company, National</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gridSpan w:val="1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44"/>
          </w:tcPr>
          <w:p>
            <w:pPr>
              <w:spacing w:after="0" w:line="142"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Association, as trustee (incorporated by reference to Exhibit 4.1 of the Form 8-K of the Company and the Operating Partnership, filed May 14, 2025,</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Company's File No. 1-13102 and Operating Partnership's File No. 333-21873)</w:t>
              </w:r>
            </w:hyperlink>
          </w:p>
        </w:tc>
        <w:tc>
          <w:tcPr>
            <w:tcW w:w="400" w:type="dxa"/>
            <w:vAlign w:val="bottom"/>
            <w:gridSpan w:val="20"/>
          </w:tcPr>
          <w:p>
            <w:pPr>
              <w:spacing w:after="0"/>
              <w:rPr>
                <w:sz w:val="12"/>
                <w:szCs w:val="12"/>
                <w:color w:val="auto"/>
              </w:rPr>
            </w:pPr>
          </w:p>
        </w:tc>
        <w:tc>
          <w:tcPr>
            <w:tcW w:w="4294967277"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gridSpan w:val="1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520" w:type="dxa"/>
            <w:vAlign w:val="bottom"/>
            <w:gridSpan w:val="24"/>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290"/>
        </w:trPr>
        <w:tc>
          <w:tcPr>
            <w:tcW w:w="680" w:type="dxa"/>
            <w:vAlign w:val="bottom"/>
            <w:gridSpan w:val="4"/>
          </w:tcPr>
          <w:p>
            <w:pPr>
              <w:jc w:val="center"/>
              <w:ind w:left="319"/>
              <w:spacing w:after="0"/>
              <w:rPr>
                <w:rFonts w:ascii="Times New Roman" w:cs="Times New Roman" w:eastAsia="Times New Roman" w:hAnsi="Times New Roman"/>
                <w:sz w:val="16"/>
                <w:szCs w:val="16"/>
                <w:color w:val="0000FF"/>
                <w:w w:val="99"/>
              </w:rPr>
            </w:pPr>
            <w:hyperlink r:id="rId76">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10</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4"/>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First Supplemental Indenture, dated as of May 14, 2025, by and among First Industrial, L.P., First Industrial Realty Trust, Inc. and U.S. Bank Trust</w:t>
              </w:r>
            </w:hyperlink>
          </w:p>
        </w:tc>
      </w:tr>
      <w:tr>
        <w:trPr>
          <w:trHeight w:val="142"/>
        </w:trPr>
        <w:tc>
          <w:tcPr>
            <w:tcW w:w="40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w w:val="99"/>
              </w:rPr>
            </w:pPr>
            <w:hyperlink r:id="rId76">
              <w:r>
                <w:rPr>
                  <w:rFonts w:ascii="Times New Roman" w:cs="Times New Roman" w:eastAsia="Times New Roman" w:hAnsi="Times New Roman"/>
                  <w:sz w:val="16"/>
                  <w:szCs w:val="16"/>
                  <w:color w:val="0000FF"/>
                  <w:w w:val="99"/>
                </w:rPr>
                <w:t>Company, National Association, as trustee (incorporated by reference to Exhibit 4.2 of the Form 8-K of the Company and the Operating Partnership,</w:t>
              </w:r>
            </w:hyperlink>
          </w:p>
        </w:tc>
        <w:tc>
          <w:tcPr>
            <w:tcW w:w="500" w:type="dxa"/>
            <w:vAlign w:val="bottom"/>
            <w:gridSpan w:val="25"/>
          </w:tcPr>
          <w:p>
            <w:pPr>
              <w:jc w:val="right"/>
              <w:ind w:right="80"/>
              <w:spacing w:after="0" w:line="142"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filed</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43"/>
          </w:tcPr>
          <w:p>
            <w:pPr>
              <w:spacing w:after="0" w:line="142"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May 14, 2025, Company's File No. 1-13102 and Operating Partnership's File No. 333-21873)</w:t>
              </w:r>
            </w:hyperlink>
          </w:p>
        </w:tc>
        <w:tc>
          <w:tcPr>
            <w:tcW w:w="4294967277" w:type="dxa"/>
            <w:vAlign w:val="bottom"/>
          </w:tcPr>
          <w:p>
            <w:pPr>
              <w:spacing w:after="0"/>
              <w:rPr>
                <w:sz w:val="12"/>
                <w:szCs w:val="12"/>
                <w:color w:val="auto"/>
              </w:rPr>
            </w:pPr>
          </w:p>
        </w:tc>
      </w:tr>
      <w:tr>
        <w:trPr>
          <w:trHeight w:val="965"/>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Borders>
              <w:top w:val="single" w:sz="8" w:color="0000FF"/>
            </w:tcBorders>
            <w:gridSpan w:val="12"/>
          </w:tcPr>
          <w:p>
            <w:pPr>
              <w:ind w:left="436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tabs>
          <w:tab w:leader="none" w:pos="5520" w:val="left"/>
        </w:tabs>
        <w:rPr>
          <w:sz w:val="20"/>
          <w:szCs w:val="20"/>
          <w:color w:val="auto"/>
        </w:rPr>
      </w:pPr>
      <w:r>
        <w:rPr>
          <w:rFonts w:ascii="Times New Roman" w:cs="Times New Roman" w:eastAsia="Times New Roman" w:hAnsi="Times New Roman"/>
          <w:sz w:val="16"/>
          <w:szCs w:val="16"/>
          <w:b w:val="1"/>
          <w:bCs w:val="1"/>
          <w:color w:val="auto"/>
        </w:rPr>
        <w:t>Exhibits</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21590</wp:posOffset>
            </wp:positionV>
            <wp:extent cx="7106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4" w:lineRule="exact"/>
        <w:rPr>
          <w:sz w:val="20"/>
          <w:szCs w:val="20"/>
          <w:color w:val="auto"/>
        </w:rPr>
      </w:pPr>
    </w:p>
    <w:p>
      <w:pPr>
        <w:ind w:left="120"/>
        <w:spacing w:after="0"/>
        <w:tabs>
          <w:tab w:leader="none" w:pos="920" w:val="left"/>
        </w:tabs>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10.1†</w:t>
        </w:r>
      </w:hyperlink>
      <w:r>
        <w:rPr>
          <w:rFonts w:ascii="Times New Roman" w:cs="Times New Roman" w:eastAsia="Times New Roman" w:hAnsi="Times New Roman"/>
          <w:sz w:val="16"/>
          <w:szCs w:val="16"/>
          <w:u w:val="single" w:color="auto"/>
          <w:color w:val="0000FF"/>
        </w:rPr>
        <w:tab/>
      </w:r>
      <w:hyperlink r:id="rId80">
        <w:r>
          <w:rPr>
            <w:rFonts w:ascii="Times New Roman" w:cs="Times New Roman" w:eastAsia="Times New Roman" w:hAnsi="Times New Roman"/>
            <w:sz w:val="16"/>
            <w:szCs w:val="16"/>
            <w:u w:val="single" w:color="auto"/>
            <w:color w:val="0000FF"/>
          </w:rPr>
          <w:t>Form of 2013 Long-Term Incentive Program (incorporated by reference to Exhibit 10.1 of the Form 8-K of the Company filed June 25, 2013, File No. 1-</w:t>
        </w:r>
      </w:hyperlink>
    </w:p>
    <w:p>
      <w:pPr>
        <w:ind w:left="940"/>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13102)</w:t>
        </w:r>
      </w:hyperlink>
    </w:p>
    <w:p>
      <w:pPr>
        <w:spacing w:after="0" w:line="109" w:lineRule="exact"/>
        <w:rPr>
          <w:sz w:val="20"/>
          <w:szCs w:val="20"/>
          <w:color w:val="auto"/>
        </w:rPr>
      </w:pPr>
    </w:p>
    <w:p>
      <w:pPr>
        <w:ind w:left="940" w:right="420" w:hanging="83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10.2†</w:t>
        </w:r>
      </w:hyperlink>
      <w:r>
        <w:rPr>
          <w:rFonts w:ascii="Times New Roman" w:cs="Times New Roman" w:eastAsia="Times New Roman" w:hAnsi="Times New Roman"/>
          <w:sz w:val="16"/>
          <w:szCs w:val="16"/>
          <w:u w:val="single" w:color="auto"/>
          <w:color w:val="0000FF"/>
        </w:rPr>
        <w:tab/>
      </w:r>
      <w:hyperlink r:id="rId81">
        <w:r>
          <w:rPr>
            <w:rFonts w:ascii="Times New Roman" w:cs="Times New Roman" w:eastAsia="Times New Roman" w:hAnsi="Times New Roman"/>
            <w:sz w:val="16"/>
            <w:szCs w:val="16"/>
            <w:u w:val="single" w:color="auto"/>
            <w:color w:val="0000FF"/>
          </w:rPr>
          <w:t>2014 Stock Incentive Plan (as amended and restated) as of December 31, 2018 (incorporated by reference to Exhibit 10.4 of the Company's Annual</w:t>
        </w:r>
      </w:hyperlink>
      <w:r>
        <w:rPr>
          <w:rFonts w:ascii="Times New Roman" w:cs="Times New Roman" w:eastAsia="Times New Roman" w:hAnsi="Times New Roman"/>
          <w:sz w:val="16"/>
          <w:szCs w:val="16"/>
          <w:u w:val="single" w:color="auto"/>
          <w:color w:val="0000FF"/>
        </w:rPr>
        <w:t xml:space="preserve"> </w:t>
      </w:r>
      <w:hyperlink r:id="rId81">
        <w:r>
          <w:rPr>
            <w:rFonts w:ascii="Times New Roman" w:cs="Times New Roman" w:eastAsia="Times New Roman" w:hAnsi="Times New Roman"/>
            <w:sz w:val="16"/>
            <w:szCs w:val="16"/>
            <w:u w:val="single" w:color="auto"/>
            <w:color w:val="0000FF"/>
          </w:rPr>
          <w:t>Report on Form 10-K for the year ended December 31, 2018, File No. 1-13102)</w:t>
        </w:r>
      </w:hyperlink>
    </w:p>
    <w:p>
      <w:pPr>
        <w:spacing w:after="0" w:line="97" w:lineRule="exact"/>
        <w:rPr>
          <w:rFonts w:ascii="Times New Roman" w:cs="Times New Roman" w:eastAsia="Times New Roman" w:hAnsi="Times New Roman"/>
          <w:sz w:val="16"/>
          <w:szCs w:val="16"/>
          <w:u w:val="single" w:color="auto"/>
          <w:color w:val="0000FF"/>
        </w:rPr>
      </w:pPr>
    </w:p>
    <w:p>
      <w:pPr>
        <w:ind w:left="940" w:right="40" w:hanging="834"/>
        <w:spacing w:after="0" w:line="231" w:lineRule="auto"/>
        <w:tabs>
          <w:tab w:leader="none" w:pos="920" w:val="left"/>
        </w:tabs>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10.3†</w:t>
        </w:r>
      </w:hyperlink>
      <w:r>
        <w:rPr>
          <w:rFonts w:ascii="Times New Roman" w:cs="Times New Roman" w:eastAsia="Times New Roman" w:hAnsi="Times New Roman"/>
          <w:sz w:val="16"/>
          <w:szCs w:val="16"/>
          <w:u w:val="single" w:color="auto"/>
          <w:color w:val="0000FF"/>
        </w:rPr>
        <w:tab/>
      </w:r>
      <w:hyperlink r:id="rId82">
        <w:r>
          <w:rPr>
            <w:rFonts w:ascii="Times New Roman" w:cs="Times New Roman" w:eastAsia="Times New Roman" w:hAnsi="Times New Roman"/>
            <w:sz w:val="16"/>
            <w:szCs w:val="16"/>
            <w:u w:val="single" w:color="auto"/>
            <w:color w:val="0000FF"/>
          </w:rPr>
          <w:t>First Amendment to the 2014 Stock Incentive Plan (amended and restated as of December 31, 2018), dated February 27, 2020 (incorporated by reference</w:t>
        </w:r>
      </w:hyperlink>
      <w:r>
        <w:rPr>
          <w:rFonts w:ascii="Times New Roman" w:cs="Times New Roman" w:eastAsia="Times New Roman" w:hAnsi="Times New Roman"/>
          <w:sz w:val="16"/>
          <w:szCs w:val="16"/>
          <w:u w:val="single" w:color="auto"/>
          <w:color w:val="0000FF"/>
        </w:rPr>
        <w:t xml:space="preserve"> </w:t>
      </w:r>
      <w:hyperlink r:id="rId82">
        <w:r>
          <w:rPr>
            <w:rFonts w:ascii="Times New Roman" w:cs="Times New Roman" w:eastAsia="Times New Roman" w:hAnsi="Times New Roman"/>
            <w:sz w:val="16"/>
            <w:szCs w:val="16"/>
            <w:u w:val="single" w:color="auto"/>
            <w:color w:val="0000FF"/>
          </w:rPr>
          <w:t>to Exhibit 10.1 of the Form 8-K of the Company and the Operating Partnership, filed May 7, 2020, Company's File No. 1-13102 and Operating</w:t>
        </w:r>
      </w:hyperlink>
    </w:p>
    <w:p>
      <w:pPr>
        <w:spacing w:after="0" w:line="1" w:lineRule="exact"/>
        <w:rPr>
          <w:rFonts w:ascii="Times New Roman" w:cs="Times New Roman" w:eastAsia="Times New Roman" w:hAnsi="Times New Roman"/>
          <w:sz w:val="16"/>
          <w:szCs w:val="16"/>
          <w:u w:val="single" w:color="auto"/>
          <w:color w:val="0000FF"/>
        </w:rPr>
      </w:pPr>
    </w:p>
    <w:p>
      <w:pPr>
        <w:ind w:left="940"/>
        <w:spacing w:after="0"/>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Partnership's File No. 333-21873)</w:t>
        </w:r>
      </w:hyperlink>
    </w:p>
    <w:p>
      <w:pPr>
        <w:spacing w:after="0" w:line="122" w:lineRule="exact"/>
        <w:rPr>
          <w:rFonts w:ascii="Times New Roman" w:cs="Times New Roman" w:eastAsia="Times New Roman" w:hAnsi="Times New Roman"/>
          <w:sz w:val="16"/>
          <w:szCs w:val="16"/>
          <w:u w:val="single" w:color="auto"/>
          <w:color w:val="0000FF"/>
        </w:rPr>
      </w:pPr>
    </w:p>
    <w:p>
      <w:pPr>
        <w:ind w:left="940" w:right="700" w:hanging="83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10.4†</w:t>
        </w:r>
      </w:hyperlink>
      <w:r>
        <w:rPr>
          <w:rFonts w:ascii="Times New Roman" w:cs="Times New Roman" w:eastAsia="Times New Roman" w:hAnsi="Times New Roman"/>
          <w:sz w:val="16"/>
          <w:szCs w:val="16"/>
          <w:u w:val="single" w:color="auto"/>
          <w:color w:val="0000FF"/>
        </w:rPr>
        <w:tab/>
      </w:r>
      <w:hyperlink r:id="rId83">
        <w:r>
          <w:rPr>
            <w:rFonts w:ascii="Times New Roman" w:cs="Times New Roman" w:eastAsia="Times New Roman" w:hAnsi="Times New Roman"/>
            <w:sz w:val="16"/>
            <w:szCs w:val="16"/>
            <w:u w:val="single" w:color="auto"/>
            <w:color w:val="0000FF"/>
          </w:rPr>
          <w:t>2024 Stock Incentive Plan, dated April 30, 2024 (incorporated by reference to Exhibit 10.1 of the Form 8-K of the Company and the Operating</w:t>
        </w:r>
      </w:hyperlink>
      <w:r>
        <w:rPr>
          <w:rFonts w:ascii="Times New Roman" w:cs="Times New Roman" w:eastAsia="Times New Roman" w:hAnsi="Times New Roman"/>
          <w:sz w:val="16"/>
          <w:szCs w:val="16"/>
          <w:u w:val="single" w:color="auto"/>
          <w:color w:val="0000FF"/>
        </w:rPr>
        <w:t xml:space="preserve"> </w:t>
      </w:r>
      <w:hyperlink r:id="rId83">
        <w:r>
          <w:rPr>
            <w:rFonts w:ascii="Times New Roman" w:cs="Times New Roman" w:eastAsia="Times New Roman" w:hAnsi="Times New Roman"/>
            <w:sz w:val="16"/>
            <w:szCs w:val="16"/>
            <w:u w:val="single" w:color="auto"/>
            <w:color w:val="0000FF"/>
          </w:rPr>
          <w:t>Partnership, filed May 1, 2024,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jc w:val="both"/>
        <w:ind w:left="940" w:right="280" w:hanging="834"/>
        <w:spacing w:after="0" w:line="232" w:lineRule="auto"/>
        <w:tabs>
          <w:tab w:leader="none" w:pos="920" w:val="left"/>
        </w:tabs>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10.5†</w:t>
        </w:r>
      </w:hyperlink>
      <w:r>
        <w:rPr>
          <w:rFonts w:ascii="Times New Roman" w:cs="Times New Roman" w:eastAsia="Times New Roman" w:hAnsi="Times New Roman"/>
          <w:sz w:val="16"/>
          <w:szCs w:val="16"/>
          <w:u w:val="single" w:color="auto"/>
          <w:color w:val="0000FF"/>
        </w:rPr>
        <w:tab/>
      </w:r>
      <w:hyperlink r:id="rId84">
        <w:r>
          <w:rPr>
            <w:rFonts w:ascii="Times New Roman" w:cs="Times New Roman" w:eastAsia="Times New Roman" w:hAnsi="Times New Roman"/>
            <w:sz w:val="16"/>
            <w:szCs w:val="16"/>
            <w:u w:val="single" w:color="auto"/>
            <w:color w:val="0000FF"/>
          </w:rPr>
          <w:t>Employment Agreement, dated November 15, 2024, by and among First Industrial Realty Trust, Inc., First Industrial, L.P., FR Management, L.P. and</w:t>
        </w:r>
      </w:hyperlink>
      <w:r>
        <w:rPr>
          <w:rFonts w:ascii="Times New Roman" w:cs="Times New Roman" w:eastAsia="Times New Roman" w:hAnsi="Times New Roman"/>
          <w:sz w:val="16"/>
          <w:szCs w:val="16"/>
          <w:u w:val="single" w:color="auto"/>
          <w:color w:val="0000FF"/>
        </w:rPr>
        <w:t xml:space="preserve"> </w:t>
      </w:r>
      <w:hyperlink r:id="rId84">
        <w:r>
          <w:rPr>
            <w:rFonts w:ascii="Times New Roman" w:cs="Times New Roman" w:eastAsia="Times New Roman" w:hAnsi="Times New Roman"/>
            <w:sz w:val="16"/>
            <w:szCs w:val="16"/>
            <w:u w:val="single" w:color="auto"/>
            <w:color w:val="0000FF"/>
          </w:rPr>
          <w:t>Peter E. Baccile (incorporated by reference to Exhibit 10.6 of the Form 10-K of the Company and the Operating Partnership, filed February 14, 2025,</w:t>
        </w:r>
      </w:hyperlink>
      <w:r>
        <w:rPr>
          <w:rFonts w:ascii="Times New Roman" w:cs="Times New Roman" w:eastAsia="Times New Roman" w:hAnsi="Times New Roman"/>
          <w:sz w:val="16"/>
          <w:szCs w:val="16"/>
          <w:u w:val="single" w:color="auto"/>
          <w:color w:val="0000FF"/>
        </w:rPr>
        <w:t xml:space="preserve"> </w:t>
      </w:r>
      <w:hyperlink r:id="rId84">
        <w:r>
          <w:rPr>
            <w:rFonts w:ascii="Times New Roman" w:cs="Times New Roman" w:eastAsia="Times New Roman" w:hAnsi="Times New Roman"/>
            <w:sz w:val="16"/>
            <w:szCs w:val="16"/>
            <w:u w:val="single" w:color="auto"/>
            <w:color w:val="0000FF"/>
          </w:rPr>
          <w:t>Company's File No. 1-13102 and Operating Partnership's File No. 333-21873)</w:t>
        </w:r>
      </w:hyperlink>
    </w:p>
    <w:p>
      <w:pPr>
        <w:spacing w:after="0" w:line="101" w:lineRule="exact"/>
        <w:rPr>
          <w:rFonts w:ascii="Times New Roman" w:cs="Times New Roman" w:eastAsia="Times New Roman" w:hAnsi="Times New Roman"/>
          <w:sz w:val="16"/>
          <w:szCs w:val="16"/>
          <w:u w:val="single" w:color="auto"/>
          <w:color w:val="0000FF"/>
        </w:rPr>
      </w:pPr>
    </w:p>
    <w:p>
      <w:pPr>
        <w:ind w:left="940" w:right="480" w:hanging="83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10.6†</w:t>
        </w:r>
      </w:hyperlink>
      <w:r>
        <w:rPr>
          <w:rFonts w:ascii="Times New Roman" w:cs="Times New Roman" w:eastAsia="Times New Roman" w:hAnsi="Times New Roman"/>
          <w:sz w:val="16"/>
          <w:szCs w:val="16"/>
          <w:u w:val="single" w:color="auto"/>
          <w:color w:val="0000FF"/>
        </w:rPr>
        <w:tab/>
      </w:r>
      <w:hyperlink r:id="rId85">
        <w:r>
          <w:rPr>
            <w:rFonts w:ascii="Times New Roman" w:cs="Times New Roman" w:eastAsia="Times New Roman" w:hAnsi="Times New Roman"/>
            <w:sz w:val="16"/>
            <w:szCs w:val="16"/>
            <w:u w:val="single" w:color="auto"/>
            <w:color w:val="0000FF"/>
          </w:rPr>
          <w:t>Form of Time Based LTIP Unit Award Agreement (incorporated by reference to Exhibit 10.9 of the Form 10-K of the Company and the Operating</w:t>
        </w:r>
      </w:hyperlink>
      <w:r>
        <w:rPr>
          <w:rFonts w:ascii="Times New Roman" w:cs="Times New Roman" w:eastAsia="Times New Roman" w:hAnsi="Times New Roman"/>
          <w:sz w:val="16"/>
          <w:szCs w:val="16"/>
          <w:u w:val="single" w:color="auto"/>
          <w:color w:val="0000FF"/>
        </w:rPr>
        <w:t xml:space="preserve"> </w:t>
      </w:r>
      <w:hyperlink r:id="rId85">
        <w:r>
          <w:rPr>
            <w:rFonts w:ascii="Times New Roman" w:cs="Times New Roman" w:eastAsia="Times New Roman" w:hAnsi="Times New Roman"/>
            <w:sz w:val="16"/>
            <w:szCs w:val="16"/>
            <w:u w:val="single" w:color="auto"/>
            <w:color w:val="0000FF"/>
          </w:rPr>
          <w:t>Partnership, filed February 16, 2023,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940" w:right="340" w:hanging="83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10.7†</w:t>
        </w:r>
      </w:hyperlink>
      <w:r>
        <w:rPr>
          <w:rFonts w:ascii="Times New Roman" w:cs="Times New Roman" w:eastAsia="Times New Roman" w:hAnsi="Times New Roman"/>
          <w:sz w:val="16"/>
          <w:szCs w:val="16"/>
          <w:u w:val="single" w:color="auto"/>
          <w:color w:val="0000FF"/>
        </w:rPr>
        <w:tab/>
      </w:r>
      <w:hyperlink r:id="rId86">
        <w:r>
          <w:rPr>
            <w:rFonts w:ascii="Times New Roman" w:cs="Times New Roman" w:eastAsia="Times New Roman" w:hAnsi="Times New Roman"/>
            <w:sz w:val="16"/>
            <w:szCs w:val="16"/>
            <w:u w:val="single" w:color="auto"/>
            <w:color w:val="0000FF"/>
          </w:rPr>
          <w:t>Form of Time Based Restricted Stock Unit Award Agreement (incorporated by reference to Exhibit 10.10 of the Form 10-K of the Company and the</w:t>
        </w:r>
      </w:hyperlink>
      <w:r>
        <w:rPr>
          <w:rFonts w:ascii="Times New Roman" w:cs="Times New Roman" w:eastAsia="Times New Roman" w:hAnsi="Times New Roman"/>
          <w:sz w:val="16"/>
          <w:szCs w:val="16"/>
          <w:u w:val="single" w:color="auto"/>
          <w:color w:val="0000FF"/>
        </w:rPr>
        <w:t xml:space="preserve"> </w:t>
      </w:r>
      <w:hyperlink r:id="rId86">
        <w:r>
          <w:rPr>
            <w:rFonts w:ascii="Times New Roman" w:cs="Times New Roman" w:eastAsia="Times New Roman" w:hAnsi="Times New Roman"/>
            <w:sz w:val="16"/>
            <w:szCs w:val="16"/>
            <w:u w:val="single" w:color="auto"/>
            <w:color w:val="0000FF"/>
          </w:rPr>
          <w:t>Operating Partnership, filed February 16, 2023,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940" w:right="600" w:hanging="83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10.8†</w:t>
        </w:r>
      </w:hyperlink>
      <w:r>
        <w:rPr>
          <w:rFonts w:ascii="Times New Roman" w:cs="Times New Roman" w:eastAsia="Times New Roman" w:hAnsi="Times New Roman"/>
          <w:sz w:val="16"/>
          <w:szCs w:val="16"/>
          <w:u w:val="single" w:color="auto"/>
          <w:color w:val="0000FF"/>
        </w:rPr>
        <w:tab/>
      </w:r>
      <w:hyperlink r:id="rId87">
        <w:r>
          <w:rPr>
            <w:rFonts w:ascii="Times New Roman" w:cs="Times New Roman" w:eastAsia="Times New Roman" w:hAnsi="Times New Roman"/>
            <w:sz w:val="16"/>
            <w:szCs w:val="16"/>
            <w:u w:val="single" w:color="auto"/>
            <w:color w:val="0000FF"/>
          </w:rPr>
          <w:t>Form of Performance Based LTIP Unit Award Agreement (incorporated by reference to Exhibit 10.11 of the Form 10-K of the Company and the</w:t>
        </w:r>
      </w:hyperlink>
      <w:r>
        <w:rPr>
          <w:rFonts w:ascii="Times New Roman" w:cs="Times New Roman" w:eastAsia="Times New Roman" w:hAnsi="Times New Roman"/>
          <w:sz w:val="16"/>
          <w:szCs w:val="16"/>
          <w:u w:val="single" w:color="auto"/>
          <w:color w:val="0000FF"/>
        </w:rPr>
        <w:t xml:space="preserve"> </w:t>
      </w:r>
      <w:hyperlink r:id="rId87">
        <w:r>
          <w:rPr>
            <w:rFonts w:ascii="Times New Roman" w:cs="Times New Roman" w:eastAsia="Times New Roman" w:hAnsi="Times New Roman"/>
            <w:sz w:val="16"/>
            <w:szCs w:val="16"/>
            <w:u w:val="single" w:color="auto"/>
            <w:color w:val="0000FF"/>
          </w:rPr>
          <w:t>Operating Partnership, filed February 16, 2023,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940" w:right="560" w:hanging="83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10.9†</w:t>
        </w:r>
      </w:hyperlink>
      <w:r>
        <w:rPr>
          <w:rFonts w:ascii="Times New Roman" w:cs="Times New Roman" w:eastAsia="Times New Roman" w:hAnsi="Times New Roman"/>
          <w:sz w:val="16"/>
          <w:szCs w:val="16"/>
          <w:u w:val="single" w:color="auto"/>
          <w:color w:val="0000FF"/>
        </w:rPr>
        <w:tab/>
      </w:r>
      <w:hyperlink r:id="rId88">
        <w:r>
          <w:rPr>
            <w:rFonts w:ascii="Times New Roman" w:cs="Times New Roman" w:eastAsia="Times New Roman" w:hAnsi="Times New Roman"/>
            <w:sz w:val="16"/>
            <w:szCs w:val="16"/>
            <w:u w:val="single" w:color="auto"/>
            <w:color w:val="0000FF"/>
          </w:rPr>
          <w:t>Form of Performance Based Stock Unit Award Agreement (incorporated by reference to Exhibit 10.12 of the Form 10-K of the Company and the</w:t>
        </w:r>
      </w:hyperlink>
      <w:r>
        <w:rPr>
          <w:rFonts w:ascii="Times New Roman" w:cs="Times New Roman" w:eastAsia="Times New Roman" w:hAnsi="Times New Roman"/>
          <w:sz w:val="16"/>
          <w:szCs w:val="16"/>
          <w:u w:val="single" w:color="auto"/>
          <w:color w:val="0000FF"/>
        </w:rPr>
        <w:t xml:space="preserve"> </w:t>
      </w:r>
      <w:hyperlink r:id="rId88">
        <w:r>
          <w:rPr>
            <w:rFonts w:ascii="Times New Roman" w:cs="Times New Roman" w:eastAsia="Times New Roman" w:hAnsi="Times New Roman"/>
            <w:sz w:val="16"/>
            <w:szCs w:val="16"/>
            <w:u w:val="single" w:color="auto"/>
            <w:color w:val="0000FF"/>
          </w:rPr>
          <w:t>Operating Partnership, filed February 16, 2023,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940" w:right="540" w:hanging="87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10.10†</w:t>
        </w:r>
      </w:hyperlink>
      <w:r>
        <w:rPr>
          <w:rFonts w:ascii="Times New Roman" w:cs="Times New Roman" w:eastAsia="Times New Roman" w:hAnsi="Times New Roman"/>
          <w:sz w:val="16"/>
          <w:szCs w:val="16"/>
          <w:u w:val="single" w:color="auto"/>
          <w:color w:val="0000FF"/>
        </w:rPr>
        <w:tab/>
      </w:r>
      <w:hyperlink r:id="rId89">
        <w:r>
          <w:rPr>
            <w:rFonts w:ascii="Times New Roman" w:cs="Times New Roman" w:eastAsia="Times New Roman" w:hAnsi="Times New Roman"/>
            <w:sz w:val="16"/>
            <w:szCs w:val="16"/>
            <w:u w:val="single" w:color="auto"/>
            <w:color w:val="0000FF"/>
          </w:rPr>
          <w:t>Form of Time Based LP Unit Award Agreement (incorporated by reference to Exhibit 10.15 of the Form 10-K of the Company and the Operating</w:t>
        </w:r>
      </w:hyperlink>
      <w:r>
        <w:rPr>
          <w:rFonts w:ascii="Times New Roman" w:cs="Times New Roman" w:eastAsia="Times New Roman" w:hAnsi="Times New Roman"/>
          <w:sz w:val="16"/>
          <w:szCs w:val="16"/>
          <w:u w:val="single" w:color="auto"/>
          <w:color w:val="0000FF"/>
        </w:rPr>
        <w:t xml:space="preserve"> </w:t>
      </w:r>
      <w:hyperlink r:id="rId89">
        <w:r>
          <w:rPr>
            <w:rFonts w:ascii="Times New Roman" w:cs="Times New Roman" w:eastAsia="Times New Roman" w:hAnsi="Times New Roman"/>
            <w:sz w:val="16"/>
            <w:szCs w:val="16"/>
            <w:u w:val="single" w:color="auto"/>
            <w:color w:val="0000FF"/>
          </w:rPr>
          <w:t>Partnership, filed February 14, 2025,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940" w:right="340" w:hanging="871"/>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10.11†</w:t>
        </w:r>
      </w:hyperlink>
      <w:r>
        <w:rPr>
          <w:rFonts w:ascii="Times New Roman" w:cs="Times New Roman" w:eastAsia="Times New Roman" w:hAnsi="Times New Roman"/>
          <w:sz w:val="16"/>
          <w:szCs w:val="16"/>
          <w:u w:val="single" w:color="auto"/>
          <w:color w:val="0000FF"/>
        </w:rPr>
        <w:tab/>
      </w:r>
      <w:hyperlink r:id="rId90">
        <w:r>
          <w:rPr>
            <w:rFonts w:ascii="Times New Roman" w:cs="Times New Roman" w:eastAsia="Times New Roman" w:hAnsi="Times New Roman"/>
            <w:sz w:val="16"/>
            <w:szCs w:val="16"/>
            <w:u w:val="single" w:color="auto"/>
            <w:color w:val="0000FF"/>
          </w:rPr>
          <w:t>Form of Time Based Restricted Stock Unit Award Agreement (incorporated by reference to Exhibit 10.16 of the Form 10-K of the Company and the</w:t>
        </w:r>
      </w:hyperlink>
      <w:r>
        <w:rPr>
          <w:rFonts w:ascii="Times New Roman" w:cs="Times New Roman" w:eastAsia="Times New Roman" w:hAnsi="Times New Roman"/>
          <w:sz w:val="16"/>
          <w:szCs w:val="16"/>
          <w:u w:val="single" w:color="auto"/>
          <w:color w:val="0000FF"/>
        </w:rPr>
        <w:t xml:space="preserve"> </w:t>
      </w:r>
      <w:hyperlink r:id="rId90">
        <w:r>
          <w:rPr>
            <w:rFonts w:ascii="Times New Roman" w:cs="Times New Roman" w:eastAsia="Times New Roman" w:hAnsi="Times New Roman"/>
            <w:sz w:val="16"/>
            <w:szCs w:val="16"/>
            <w:u w:val="single" w:color="auto"/>
            <w:color w:val="0000FF"/>
          </w:rPr>
          <w:t>Operating Partnership, filed February 14, 2025,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940" w:right="40" w:hanging="87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10.12†</w:t>
        </w:r>
      </w:hyperlink>
      <w:r>
        <w:rPr>
          <w:rFonts w:ascii="Times New Roman" w:cs="Times New Roman" w:eastAsia="Times New Roman" w:hAnsi="Times New Roman"/>
          <w:sz w:val="16"/>
          <w:szCs w:val="16"/>
          <w:u w:val="single" w:color="auto"/>
          <w:color w:val="0000FF"/>
        </w:rPr>
        <w:tab/>
      </w:r>
      <w:hyperlink r:id="rId91">
        <w:r>
          <w:rPr>
            <w:rFonts w:ascii="Times New Roman" w:cs="Times New Roman" w:eastAsia="Times New Roman" w:hAnsi="Times New Roman"/>
            <w:sz w:val="16"/>
            <w:szCs w:val="16"/>
            <w:u w:val="single" w:color="auto"/>
            <w:color w:val="0000FF"/>
          </w:rPr>
          <w:t>Form of Performance Based LP Unit Award Agreement (incorporated by reference to Exhibit 10.17 of the Form 10-K of the Company and the Operating</w:t>
        </w:r>
      </w:hyperlink>
      <w:r>
        <w:rPr>
          <w:rFonts w:ascii="Times New Roman" w:cs="Times New Roman" w:eastAsia="Times New Roman" w:hAnsi="Times New Roman"/>
          <w:sz w:val="16"/>
          <w:szCs w:val="16"/>
          <w:u w:val="single" w:color="auto"/>
          <w:color w:val="0000FF"/>
        </w:rPr>
        <w:t xml:space="preserve"> </w:t>
      </w:r>
      <w:hyperlink r:id="rId91">
        <w:r>
          <w:rPr>
            <w:rFonts w:ascii="Times New Roman" w:cs="Times New Roman" w:eastAsia="Times New Roman" w:hAnsi="Times New Roman"/>
            <w:sz w:val="16"/>
            <w:szCs w:val="16"/>
            <w:u w:val="single" w:color="auto"/>
            <w:color w:val="0000FF"/>
          </w:rPr>
          <w:t>Partnership, filed February 14, 2025,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jc w:val="both"/>
        <w:ind w:left="940" w:right="100" w:hanging="874"/>
        <w:spacing w:after="0" w:line="245" w:lineRule="auto"/>
        <w:tabs>
          <w:tab w:leader="none" w:pos="920" w:val="left"/>
        </w:tabs>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10.13†</w:t>
        </w:r>
      </w:hyperlink>
      <w:r>
        <w:rPr>
          <w:rFonts w:ascii="Times New Roman" w:cs="Times New Roman" w:eastAsia="Times New Roman" w:hAnsi="Times New Roman"/>
          <w:sz w:val="16"/>
          <w:szCs w:val="16"/>
          <w:u w:val="single" w:color="auto"/>
          <w:color w:val="0000FF"/>
        </w:rPr>
        <w:tab/>
      </w:r>
      <w:hyperlink r:id="rId92">
        <w:r>
          <w:rPr>
            <w:rFonts w:ascii="Times New Roman" w:cs="Times New Roman" w:eastAsia="Times New Roman" w:hAnsi="Times New Roman"/>
            <w:sz w:val="16"/>
            <w:szCs w:val="16"/>
            <w:u w:val="single" w:color="auto"/>
            <w:color w:val="0000FF"/>
          </w:rPr>
          <w:t>Form of Performance Based Restricted Stock Unit Award Agreement (incorporated by reference to Exhibit 10.18 of the Form 10-K of the Company and</w:t>
        </w:r>
      </w:hyperlink>
      <w:r>
        <w:rPr>
          <w:rFonts w:ascii="Times New Roman" w:cs="Times New Roman" w:eastAsia="Times New Roman" w:hAnsi="Times New Roman"/>
          <w:sz w:val="16"/>
          <w:szCs w:val="16"/>
          <w:u w:val="single" w:color="auto"/>
          <w:color w:val="0000FF"/>
        </w:rPr>
        <w:t xml:space="preserve"> </w:t>
      </w:r>
      <w:hyperlink r:id="rId92">
        <w:r>
          <w:rPr>
            <w:rFonts w:ascii="Times New Roman" w:cs="Times New Roman" w:eastAsia="Times New Roman" w:hAnsi="Times New Roman"/>
            <w:sz w:val="16"/>
            <w:szCs w:val="16"/>
            <w:u w:val="single" w:color="auto"/>
            <w:color w:val="0000FF"/>
          </w:rPr>
          <w:t>the Operating Partnership, filed February 14, 2025,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jc w:val="both"/>
        <w:ind w:left="940" w:right="80" w:hanging="874"/>
        <w:spacing w:after="0" w:line="232" w:lineRule="auto"/>
        <w:tabs>
          <w:tab w:leader="none" w:pos="920" w:val="left"/>
        </w:tabs>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10.14†</w:t>
        </w:r>
      </w:hyperlink>
      <w:r>
        <w:rPr>
          <w:rFonts w:ascii="Times New Roman" w:cs="Times New Roman" w:eastAsia="Times New Roman" w:hAnsi="Times New Roman"/>
          <w:sz w:val="16"/>
          <w:szCs w:val="16"/>
          <w:u w:val="single" w:color="auto"/>
          <w:color w:val="0000FF"/>
        </w:rPr>
        <w:tab/>
      </w:r>
      <w:hyperlink r:id="rId93">
        <w:r>
          <w:rPr>
            <w:rFonts w:ascii="Times New Roman" w:cs="Times New Roman" w:eastAsia="Times New Roman" w:hAnsi="Times New Roman"/>
            <w:sz w:val="16"/>
            <w:szCs w:val="16"/>
            <w:u w:val="single" w:color="auto"/>
            <w:color w:val="0000FF"/>
          </w:rPr>
          <w:t>Executive Change in Control Severance Policy, effective February 11, 2020 and amended October 30, 2024 (incorporated by reference to Exhibit 10.19</w:t>
        </w:r>
      </w:hyperlink>
      <w:r>
        <w:rPr>
          <w:rFonts w:ascii="Times New Roman" w:cs="Times New Roman" w:eastAsia="Times New Roman" w:hAnsi="Times New Roman"/>
          <w:sz w:val="16"/>
          <w:szCs w:val="16"/>
          <w:u w:val="single" w:color="auto"/>
          <w:color w:val="0000FF"/>
        </w:rPr>
        <w:t xml:space="preserve"> </w:t>
      </w:r>
      <w:hyperlink r:id="rId93">
        <w:r>
          <w:rPr>
            <w:rFonts w:ascii="Times New Roman" w:cs="Times New Roman" w:eastAsia="Times New Roman" w:hAnsi="Times New Roman"/>
            <w:sz w:val="16"/>
            <w:szCs w:val="16"/>
            <w:u w:val="single" w:color="auto"/>
            <w:color w:val="0000FF"/>
          </w:rPr>
          <w:t>of the Form 10-K of the Company and the Operating Partnership, filed February 14, 2025, Company's File No. 1-13102 and Operating Partnership's File</w:t>
        </w:r>
      </w:hyperlink>
      <w:r>
        <w:rPr>
          <w:rFonts w:ascii="Times New Roman" w:cs="Times New Roman" w:eastAsia="Times New Roman" w:hAnsi="Times New Roman"/>
          <w:sz w:val="16"/>
          <w:szCs w:val="16"/>
          <w:u w:val="single" w:color="auto"/>
          <w:color w:val="0000FF"/>
        </w:rPr>
        <w:t xml:space="preserve"> </w:t>
      </w:r>
      <w:hyperlink r:id="rId93">
        <w:r>
          <w:rPr>
            <w:rFonts w:ascii="Times New Roman" w:cs="Times New Roman" w:eastAsia="Times New Roman" w:hAnsi="Times New Roman"/>
            <w:sz w:val="16"/>
            <w:szCs w:val="16"/>
            <w:u w:val="single" w:color="auto"/>
            <w:color w:val="0000FF"/>
          </w:rPr>
          <w:t>No. 333-21873)</w:t>
        </w:r>
      </w:hyperlink>
    </w:p>
    <w:p>
      <w:pPr>
        <w:spacing w:after="0" w:line="101" w:lineRule="exact"/>
        <w:rPr>
          <w:rFonts w:ascii="Times New Roman" w:cs="Times New Roman" w:eastAsia="Times New Roman" w:hAnsi="Times New Roman"/>
          <w:sz w:val="16"/>
          <w:szCs w:val="16"/>
          <w:u w:val="single" w:color="auto"/>
          <w:color w:val="0000FF"/>
        </w:rPr>
      </w:pPr>
    </w:p>
    <w:p>
      <w:pPr>
        <w:ind w:left="940" w:hanging="834"/>
        <w:spacing w:after="0" w:line="227" w:lineRule="auto"/>
        <w:tabs>
          <w:tab w:leader="none" w:pos="920" w:val="left"/>
        </w:tabs>
        <w:rPr>
          <w:rFonts w:ascii="Times New Roman" w:cs="Times New Roman" w:eastAsia="Times New Roman" w:hAnsi="Times New Roman"/>
          <w:sz w:val="16"/>
          <w:szCs w:val="16"/>
          <w:u w:val="single" w:color="auto"/>
          <w:color w:val="0000FF"/>
        </w:rPr>
      </w:pPr>
      <w:hyperlink r:id="rId94">
        <w:r>
          <w:rPr>
            <w:rFonts w:ascii="Times New Roman" w:cs="Times New Roman" w:eastAsia="Times New Roman" w:hAnsi="Times New Roman"/>
            <w:sz w:val="16"/>
            <w:szCs w:val="16"/>
            <w:u w:val="single" w:color="auto"/>
            <w:color w:val="0000FF"/>
          </w:rPr>
          <w:t>10.15</w:t>
        </w:r>
      </w:hyperlink>
      <w:r>
        <w:rPr>
          <w:rFonts w:ascii="Times New Roman" w:cs="Times New Roman" w:eastAsia="Times New Roman" w:hAnsi="Times New Roman"/>
          <w:sz w:val="16"/>
          <w:szCs w:val="16"/>
          <w:u w:val="single" w:color="auto"/>
          <w:color w:val="0000FF"/>
        </w:rPr>
        <w:tab/>
      </w:r>
      <w:hyperlink r:id="rId94">
        <w:r>
          <w:rPr>
            <w:rFonts w:ascii="Times New Roman" w:cs="Times New Roman" w:eastAsia="Times New Roman" w:hAnsi="Times New Roman"/>
            <w:sz w:val="16"/>
            <w:szCs w:val="16"/>
            <w:u w:val="single" w:color="auto"/>
            <w:color w:val="0000FF"/>
          </w:rPr>
          <w:t>Note and Guaranty Agreement, dated as of February 21, 2017, by and among First Industrial, L.P., First Industrial Realty Trust, Inc. and the purchasers of</w:t>
        </w:r>
      </w:hyperlink>
      <w:r>
        <w:rPr>
          <w:rFonts w:ascii="Times New Roman" w:cs="Times New Roman" w:eastAsia="Times New Roman" w:hAnsi="Times New Roman"/>
          <w:sz w:val="16"/>
          <w:szCs w:val="16"/>
          <w:u w:val="single" w:color="auto"/>
          <w:color w:val="0000FF"/>
        </w:rPr>
        <w:t xml:space="preserve"> </w:t>
      </w:r>
      <w:hyperlink r:id="rId94">
        <w:r>
          <w:rPr>
            <w:rFonts w:ascii="Times New Roman" w:cs="Times New Roman" w:eastAsia="Times New Roman" w:hAnsi="Times New Roman"/>
            <w:sz w:val="16"/>
            <w:szCs w:val="16"/>
            <w:u w:val="single" w:color="auto"/>
            <w:color w:val="0000FF"/>
          </w:rPr>
          <w:t>the notes party thereto (including the forms of each of the 4.30% Series A Guaranteed Senior Notes due April 20, 2027 and 4.40% Series B Guaranteed</w:t>
        </w:r>
      </w:hyperlink>
      <w:r>
        <w:rPr>
          <w:rFonts w:ascii="Times New Roman" w:cs="Times New Roman" w:eastAsia="Times New Roman" w:hAnsi="Times New Roman"/>
          <w:sz w:val="16"/>
          <w:szCs w:val="16"/>
          <w:u w:val="single" w:color="auto"/>
          <w:color w:val="0000FF"/>
        </w:rPr>
        <w:t xml:space="preserve"> </w:t>
      </w:r>
      <w:hyperlink r:id="rId94">
        <w:r>
          <w:rPr>
            <w:rFonts w:ascii="Times New Roman" w:cs="Times New Roman" w:eastAsia="Times New Roman" w:hAnsi="Times New Roman"/>
            <w:sz w:val="16"/>
            <w:szCs w:val="16"/>
            <w:u w:val="single" w:color="auto"/>
            <w:color w:val="0000FF"/>
          </w:rPr>
          <w:t>Senior Notes due April 20, 2029) (incorporated by reference to Exhibit 10.1 of the Form 8-K of the Company and the Operating Partnership, filed</w:t>
        </w:r>
      </w:hyperlink>
      <w:r>
        <w:rPr>
          <w:rFonts w:ascii="Times New Roman" w:cs="Times New Roman" w:eastAsia="Times New Roman" w:hAnsi="Times New Roman"/>
          <w:sz w:val="16"/>
          <w:szCs w:val="16"/>
          <w:u w:val="single" w:color="auto"/>
          <w:color w:val="0000FF"/>
        </w:rPr>
        <w:t xml:space="preserve"> </w:t>
      </w:r>
      <w:hyperlink r:id="rId94">
        <w:r>
          <w:rPr>
            <w:rFonts w:ascii="Times New Roman" w:cs="Times New Roman" w:eastAsia="Times New Roman" w:hAnsi="Times New Roman"/>
            <w:sz w:val="16"/>
            <w:szCs w:val="16"/>
            <w:u w:val="single" w:color="auto"/>
            <w:color w:val="0000FF"/>
          </w:rPr>
          <w:t>February 23, 2017, Company's File No. 1-13102 and Operating Partnership's File No. 333-21873)</w:t>
        </w:r>
      </w:hyperlink>
    </w:p>
    <w:p>
      <w:pPr>
        <w:spacing w:after="0" w:line="100" w:lineRule="exact"/>
        <w:rPr>
          <w:rFonts w:ascii="Times New Roman" w:cs="Times New Roman" w:eastAsia="Times New Roman" w:hAnsi="Times New Roman"/>
          <w:sz w:val="16"/>
          <w:szCs w:val="16"/>
          <w:u w:val="single" w:color="auto"/>
          <w:color w:val="0000FF"/>
        </w:rPr>
      </w:pPr>
    </w:p>
    <w:p>
      <w:pPr>
        <w:ind w:left="940" w:right="100" w:hanging="834"/>
        <w:spacing w:after="0" w:line="227" w:lineRule="auto"/>
        <w:tabs>
          <w:tab w:leader="none" w:pos="920" w:val="left"/>
        </w:tabs>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10.16</w:t>
        </w:r>
      </w:hyperlink>
      <w:r>
        <w:rPr>
          <w:rFonts w:ascii="Times New Roman" w:cs="Times New Roman" w:eastAsia="Times New Roman" w:hAnsi="Times New Roman"/>
          <w:sz w:val="16"/>
          <w:szCs w:val="16"/>
          <w:u w:val="single" w:color="auto"/>
          <w:color w:val="0000FF"/>
        </w:rPr>
        <w:tab/>
      </w:r>
      <w:hyperlink r:id="rId95">
        <w:r>
          <w:rPr>
            <w:rFonts w:ascii="Times New Roman" w:cs="Times New Roman" w:eastAsia="Times New Roman" w:hAnsi="Times New Roman"/>
            <w:sz w:val="16"/>
            <w:szCs w:val="16"/>
            <w:u w:val="single" w:color="auto"/>
            <w:color w:val="0000FF"/>
          </w:rPr>
          <w:t>Note and Guaranty Agreement, dated as of December 12, 2017, by and among First Industrial, L.P., First Industrial Realty Trust, Inc. and the purchasers</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of the notes party thereto (including the forms of each of the 3.86% Series C Guaranteed Senior Notes due February 15, 2028 and 3.96% Series D</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Guaranteed Senior Notes due February 15, 2030) (incorporated by reference to Exhibit 10.1 of the Form 8-K of the Company and the Operating</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Partnership, filed December 15, 2017, Company's File No. 1-13102 and Operating Partnership's File No. 333-21873)</w:t>
        </w:r>
      </w:hyperlink>
    </w:p>
    <w:p>
      <w:pPr>
        <w:spacing w:after="0" w:line="100" w:lineRule="exact"/>
        <w:rPr>
          <w:rFonts w:ascii="Times New Roman" w:cs="Times New Roman" w:eastAsia="Times New Roman" w:hAnsi="Times New Roman"/>
          <w:sz w:val="16"/>
          <w:szCs w:val="16"/>
          <w:u w:val="single" w:color="auto"/>
          <w:color w:val="0000FF"/>
        </w:rPr>
      </w:pPr>
    </w:p>
    <w:p>
      <w:pPr>
        <w:ind w:left="940" w:right="60" w:hanging="834"/>
        <w:spacing w:after="0" w:line="232" w:lineRule="auto"/>
        <w:tabs>
          <w:tab w:leader="none" w:pos="920" w:val="left"/>
        </w:tabs>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10.17</w:t>
        </w:r>
      </w:hyperlink>
      <w:r>
        <w:rPr>
          <w:rFonts w:ascii="Times New Roman" w:cs="Times New Roman" w:eastAsia="Times New Roman" w:hAnsi="Times New Roman"/>
          <w:sz w:val="16"/>
          <w:szCs w:val="16"/>
          <w:u w:val="single" w:color="auto"/>
          <w:color w:val="0000FF"/>
        </w:rPr>
        <w:tab/>
      </w:r>
      <w:hyperlink r:id="rId96">
        <w:r>
          <w:rPr>
            <w:rFonts w:ascii="Times New Roman" w:cs="Times New Roman" w:eastAsia="Times New Roman" w:hAnsi="Times New Roman"/>
            <w:sz w:val="16"/>
            <w:szCs w:val="16"/>
            <w:u w:val="single" w:color="auto"/>
            <w:color w:val="0000FF"/>
          </w:rPr>
          <w:t>First Amendment, dated as of December 12, 2017, to Note and Guaranty Agreement, dated as of February 21, 2017, among First Industrial, L.P., First</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Industrial Realty Trust, Inc. and the purchasers of the notes party thereto (incorporated by reference to Exhibit 10.2 of the Form 8-K of the Company and</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the Operating Partnership, filed December 15, 2017, Company's File No. 1-13102 and Operating Partnership's File No. 333-21873)</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17" w:lineRule="exact"/>
        <w:rPr>
          <w:rFonts w:ascii="Times New Roman" w:cs="Times New Roman" w:eastAsia="Times New Roman" w:hAnsi="Times New Roman"/>
          <w:sz w:val="16"/>
          <w:szCs w:val="16"/>
          <w:u w:val="single" w:color="auto"/>
          <w:color w:val="0000FF"/>
        </w:rPr>
      </w:pPr>
    </w:p>
    <w:p>
      <w:pPr>
        <w:jc w:val="center"/>
        <w:ind w:right="1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60" w:top="1028" w:right="4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5"/>
        </w:trPr>
        <w:tc>
          <w:tcPr>
            <w:tcW w:w="11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20" w:type="dxa"/>
            <w:vAlign w:val="bottom"/>
            <w:gridSpan w:val="38"/>
          </w:tcPr>
          <w:p>
            <w:pPr>
              <w:ind w:left="2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20" w:type="dxa"/>
            <w:vAlign w:val="bottom"/>
            <w:tcBorders>
              <w:top w:val="single" w:sz="8" w:color="auto"/>
            </w:tcBorders>
            <w:gridSpan w:val="3"/>
          </w:tcPr>
          <w:p>
            <w:pPr>
              <w:jc w:val="center"/>
              <w:ind w:left="279"/>
              <w:spacing w:after="0" w:line="172" w:lineRule="exact"/>
              <w:rPr>
                <w:rFonts w:ascii="Times New Roman" w:cs="Times New Roman" w:eastAsia="Times New Roman" w:hAnsi="Times New Roman"/>
                <w:sz w:val="16"/>
                <w:szCs w:val="16"/>
                <w:color w:val="0000FF"/>
                <w:w w:val="99"/>
              </w:rPr>
            </w:pPr>
            <w:hyperlink r:id="rId9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18</w:t>
              </w:r>
            </w:hyperlink>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20" w:type="dxa"/>
            <w:vAlign w:val="bottom"/>
            <w:tcBorders>
              <w:top w:val="single" w:sz="8" w:color="auto"/>
            </w:tcBorders>
            <w:gridSpan w:val="46"/>
          </w:tcPr>
          <w:p>
            <w:pPr>
              <w:spacing w:after="0" w:line="17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Note and Guaranty Agreement, dated as of May 16, 2019, by and among First Industrial, L.P., First Industrial Realty Trust, Inc. and the purchasers of the</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notes party thereto (including the form of the 3.97% Series E Guaranteed Senior Notes due July 23, 2029) (incorporated by reference to Exhibit 10.1 of</w:t>
              </w:r>
            </w:hyperlink>
          </w:p>
        </w:tc>
        <w:tc>
          <w:tcPr>
            <w:tcW w:w="1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gridSpan w:val="46"/>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the Form 8-K of the Company and the Operating Partnership, filed May 20, 2019, Company's File No. 1-13102 and Operating Partnership's File No. 333-</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21873)</w:t>
              </w:r>
            </w:hyperlink>
          </w:p>
        </w:tc>
        <w:tc>
          <w:tcPr>
            <w:tcW w:w="86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9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19</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Equity Distribution Agreement among the Company, First Industrial, L.P., Wells Fargo Securities, LLC and Wells Fargo Bank, National Association</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dated August 21, 2025 (incorporated by reference to Exhibit 10.1 of the Form 8-K of the Company and the Operating Partnership, filed August 21,</w:t>
              </w:r>
            </w:hyperlink>
          </w:p>
        </w:tc>
        <w:tc>
          <w:tcPr>
            <w:tcW w:w="400" w:type="dxa"/>
            <w:vAlign w:val="bottom"/>
            <w:gridSpan w:val="14"/>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Company's File No. 1-13102 and Operating Partnership's File No. 333-21873)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20</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Form Master Forward Confirmation (incorporated by reference to Exhibit 10.2 of the Form 8-K of the Company and the Operating Partnership, filed</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August 21, 2025, Company's File No. 1-13102 and Operating Partnership's File No. 333-21873)</w:t>
              </w:r>
            </w:hyperlink>
          </w:p>
        </w:tc>
        <w:tc>
          <w:tcPr>
            <w:tcW w:w="342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18"/>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Note and Guaranty Agreement, dated as of July 7, 2020 by and among First Industrial, L.P., First Industrial Realty Trust, Inc. and the purchasers of the</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notes party thereto (including the form of the 2.74% Series F Guaranteed Senior Notes due September 17, 2030 and the 2.84% Series G Guaranteed</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6"/>
          </w:tcPr>
          <w:p>
            <w:pPr>
              <w:spacing w:after="0" w:line="15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Senior Notes due September 17, 2032) (incorporated by reference to Exhibit 10.1 of the Form 8-K of the Company and the Operating Partnership,</w:t>
              </w:r>
            </w:hyperlink>
          </w:p>
        </w:tc>
        <w:tc>
          <w:tcPr>
            <w:tcW w:w="520" w:type="dxa"/>
            <w:vAlign w:val="bottom"/>
            <w:gridSpan w:val="20"/>
          </w:tcPr>
          <w:p>
            <w:pPr>
              <w:spacing w:after="0" w:line="15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filed</w:t>
              </w:r>
            </w:hyperlink>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3"/>
          </w:tcPr>
          <w:p>
            <w:pPr>
              <w:spacing w:after="0" w:line="15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July 8, 2020, Company's File No. 1-13102 and Operating Partnership's File No. 333-21873)</w:t>
              </w:r>
            </w:hyperlink>
          </w:p>
        </w:tc>
        <w:tc>
          <w:tcPr>
            <w:tcW w:w="386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Fifth Amended and Restated Unsecured Revolving Credit Facility Agreement, dated as of March 18, 2025, among First Industrial, L.P., as borrower, First</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43"/>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Industrial Realty Trust, Inc., as guarantor, and Wells Fargo Bank, National Association, as administrative agent, and the other parties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5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(incorporated by reference to Exhibit 10.1 of the Form 8-K of the Company and the Operating Partnership, filed March 19, 2025, Company's</w:t>
              </w:r>
            </w:hyperlink>
          </w:p>
        </w:tc>
        <w:tc>
          <w:tcPr>
            <w:tcW w:w="1020" w:type="dxa"/>
            <w:vAlign w:val="bottom"/>
            <w:gridSpan w:val="29"/>
          </w:tcPr>
          <w:p>
            <w:pPr>
              <w:ind w:left="80"/>
              <w:spacing w:after="0" w:line="15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File No. 1-</w:t>
              </w:r>
            </w:hyperlink>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7"/>
          </w:tcPr>
          <w:p>
            <w:pPr>
              <w:spacing w:after="0" w:line="15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13102 and Operating Partnership's File No. 333-21873)</w:t>
              </w:r>
            </w:hyperlink>
          </w:p>
        </w:tc>
        <w:tc>
          <w:tcPr>
            <w:tcW w:w="63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23</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Second Amended and Restated Unsecured Term Loan Agreement, dated as of March 18, 2025, among First Industrial, L.P., as borrower, First Industrial</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Realty Trust, Inc., as guarantor, and Wells Fargo Bank, National Association, as administrative agent, and the other parties thereto (incorporated by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reference to Exhibit 10.2 of the Form 8-K of the Company and the Operating Partnership, filed March 19, 2025, Company's File No. 1-13102 and</w:t>
              </w:r>
            </w:hyperlink>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6"/>
          </w:tcPr>
          <w:p>
            <w:pPr>
              <w:spacing w:after="0" w:line="15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Operating Partnership's File No. 333-21873)</w:t>
              </w:r>
            </w:hyperlink>
          </w:p>
        </w:tc>
        <w:tc>
          <w:tcPr>
            <w:tcW w:w="65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24</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Amended and Restated Unsecured Term Loan Agreement, dated as of April 18, 2022 among First Industrial, L.P., First Industrial Realty Trust, Inc., Wells</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Fargo Bank, National Association, PNC Bank, National Association, Fifth Third Bank, National Association, Regions Bank, U.S. Bank National</w:t>
              </w:r>
            </w:hyperlink>
          </w:p>
        </w:tc>
        <w:tc>
          <w:tcPr>
            <w:tcW w:w="68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46"/>
          </w:tcPr>
          <w:p>
            <w:pPr>
              <w:spacing w:after="0" w:line="15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Association and the other lenders thereunder (incorporated by reference to Exhibit 10.1 of the Form 8-K of the Company and the Operating Partnership,</w:t>
              </w:r>
            </w:hyperlink>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15"/>
          </w:tcPr>
          <w:p>
            <w:pPr>
              <w:spacing w:after="0" w:line="15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filed April 20, 2022, Company's File No. 1-13102 and Operating Partnership's File No. 333-21873)</w:t>
              </w:r>
            </w:hyperlink>
          </w:p>
        </w:tc>
        <w:tc>
          <w:tcPr>
            <w:tcW w:w="344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25</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First Amendment, dated May 31, 2023, to Amended and Restated Unsecured Term Loan Agreement, dated as of April 18, 2022, among First Industrial,</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L.P., First Industrial Realty Trust, Inc., Wells Fargo Bank, National Association, PNC Bank, National Association, Fifth Third Bank, National</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Association, Regions Bank, U.S. Bank National Association and the other lenders thereunder (incorporated by reference to Exhibit 10.3 of the</w:t>
              </w:r>
            </w:hyperlink>
          </w:p>
        </w:tc>
        <w:tc>
          <w:tcPr>
            <w:tcW w:w="920" w:type="dxa"/>
            <w:vAlign w:val="bottom"/>
            <w:gridSpan w:val="28"/>
          </w:tcPr>
          <w:p>
            <w:pPr>
              <w:ind w:left="80"/>
              <w:spacing w:after="0" w:line="15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Form 8-K</w:t>
              </w:r>
            </w:hyperlink>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2"/>
          </w:tcPr>
          <w:p>
            <w:pPr>
              <w:spacing w:after="0" w:line="15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of the Company and the Operating Partnership, filed June 2, 2023, Company's File No. 1-13102 and Operating Partnership's File No. 333-21873)</w:t>
              </w:r>
            </w:hyperlink>
          </w:p>
        </w:tc>
        <w:tc>
          <w:tcPr>
            <w:tcW w:w="5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20" w:type="dxa"/>
            <w:vAlign w:val="bottom"/>
            <w:gridSpan w:val="3"/>
          </w:tcPr>
          <w:p>
            <w:pPr>
              <w:jc w:val="center"/>
              <w:ind w:left="279"/>
              <w:spacing w:after="0"/>
              <w:rPr>
                <w:rFonts w:ascii="Times New Roman" w:cs="Times New Roman" w:eastAsia="Times New Roman" w:hAnsi="Times New Roman"/>
                <w:sz w:val="16"/>
                <w:szCs w:val="16"/>
                <w:color w:val="0000FF"/>
                <w:w w:val="99"/>
              </w:rPr>
            </w:pPr>
            <w:hyperlink r:id="rId10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26</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Unsecured Term Loan Agreement, dated as of August 12, 2022 among First Industrial, L.P., First Industrial Realty Trust, Inc., U.S. Bank National</w:t>
              </w:r>
            </w:hyperlink>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Association, Bank of America, N.A., PNC Bank, National Association, Regions Bank and JPMorgan Chase Bank, N.A. (incorporated by reference</w:t>
              </w:r>
            </w:hyperlink>
          </w:p>
        </w:tc>
        <w:tc>
          <w:tcPr>
            <w:tcW w:w="640" w:type="dxa"/>
            <w:vAlign w:val="bottom"/>
            <w:gridSpan w:val="22"/>
          </w:tcPr>
          <w:p>
            <w:pPr>
              <w:ind w:left="100"/>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to</w:t>
              </w:r>
            </w:hyperlink>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0"/>
          </w:tcPr>
          <w:p>
            <w:pPr>
              <w:spacing w:after="0" w:line="15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Exhibit 10.1 of the Form 8-K of the Company and the Operating Partnership, filed August 15, 2022, Company's File No. 1-13102 and Operating</w:t>
              </w:r>
            </w:hyperlink>
          </w:p>
        </w:tc>
        <w:tc>
          <w:tcPr>
            <w:tcW w:w="2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5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Partnership's File No. 333-21873)</w:t>
              </w:r>
            </w:hyperlink>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3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19.</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Insider Trading Policy</w:t>
            </w:r>
          </w:p>
        </w:tc>
        <w:tc>
          <w:tcPr>
            <w:tcW w:w="7920" w:type="dxa"/>
            <w:vAlign w:val="bottom"/>
            <w:gridSpan w:val="41"/>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Subsidiaries of the Registrants</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Consent of PricewaterhouseCoopers LLP with respect to First Industrial Realty Trust, Inc.</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Consent of PricewaterhouseCoopers LLP with respect to First Industrial, L.P.</w:t>
            </w:r>
          </w:p>
        </w:tc>
        <w:tc>
          <w:tcPr>
            <w:tcW w:w="5040" w:type="dxa"/>
            <w:vAlign w:val="bottom"/>
            <w:gridSpan w:val="36"/>
          </w:tcPr>
          <w:p>
            <w:pPr>
              <w:spacing w:after="0"/>
              <w:rPr>
                <w:sz w:val="24"/>
                <w:szCs w:val="24"/>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of First Industrial Realty Trust, Inc. pursuant to Rule 13a-14(a) under the Securities Exchange Act of 1934, as</w:t>
            </w:r>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9440" w:type="dxa"/>
            <w:vAlign w:val="bottom"/>
            <w:tcBorders>
              <w:top w:val="single" w:sz="8" w:color="0000FF"/>
            </w:tcBorders>
            <w:gridSpan w:val="40"/>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of First Industrial Realty Trust, Inc. pursuant to Rule 13a-14(a) under the Securities Exchange Act of 1934, as</w:t>
            </w:r>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9380" w:type="dxa"/>
            <w:vAlign w:val="bottom"/>
            <w:tcBorders>
              <w:top w:val="single" w:sz="8" w:color="0000FF"/>
            </w:tcBorders>
            <w:gridSpan w:val="37"/>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of First Industrial Realty Trust, Inc., in its capacity as the sole general partner of First Industrial, L.P.,</w:t>
            </w:r>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2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pursuant to Rule 13a-14(a) under the Securities Exchange Act of 1934, as amended</w:t>
            </w:r>
          </w:p>
        </w:tc>
        <w:tc>
          <w:tcPr>
            <w:tcW w:w="4000" w:type="dxa"/>
            <w:vAlign w:val="bottom"/>
            <w:tcBorders>
              <w:top w:val="single" w:sz="8" w:color="0000FF"/>
            </w:tcBorders>
            <w:gridSpan w:val="10"/>
          </w:tcPr>
          <w:p>
            <w:pPr>
              <w:spacing w:after="0"/>
              <w:rPr>
                <w:sz w:val="12"/>
                <w:szCs w:val="12"/>
                <w:color w:val="auto"/>
              </w:rPr>
            </w:pPr>
          </w:p>
        </w:tc>
        <w:tc>
          <w:tcPr>
            <w:tcW w:w="260" w:type="dxa"/>
            <w:vAlign w:val="bottom"/>
            <w:gridSpan w:val="8"/>
          </w:tcPr>
          <w:p>
            <w:pPr>
              <w:spacing w:after="0"/>
              <w:rPr>
                <w:sz w:val="12"/>
                <w:szCs w:val="12"/>
                <w:color w:val="auto"/>
              </w:rPr>
            </w:pPr>
          </w:p>
        </w:tc>
        <w:tc>
          <w:tcPr>
            <w:tcW w:w="340" w:type="dxa"/>
            <w:vAlign w:val="bottom"/>
            <w:gridSpan w:val="1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7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of First Industrial Realty Trust, Inc., in its capacity as the sole general partner of First Industrial, L.P., pursuant</w:t>
            </w:r>
          </w:p>
        </w:tc>
      </w:tr>
      <w:tr>
        <w:trPr>
          <w:trHeight w:val="142"/>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to Rule 13a-14(a) under the Securities Exchange Act of 1934, as amended</w:t>
            </w:r>
          </w:p>
        </w:tc>
        <w:tc>
          <w:tcPr>
            <w:tcW w:w="5200" w:type="dxa"/>
            <w:vAlign w:val="bottom"/>
            <w:tcBorders>
              <w:top w:val="single" w:sz="8" w:color="0000FF"/>
            </w:tcBorders>
            <w:gridSpan w:val="3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760" w:type="dxa"/>
            <w:vAlign w:val="bottom"/>
            <w:gridSpan w:val="4"/>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and Principal Financial Officer of First Industrial Realty Trust, Inc. pursuant to 18 U.S.C. Section 1350, as</w:t>
            </w:r>
          </w:p>
        </w:tc>
      </w:tr>
      <w:tr>
        <w:trPr>
          <w:trHeight w:val="142"/>
        </w:trPr>
        <w:tc>
          <w:tcPr>
            <w:tcW w:w="3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5700" w:type="dxa"/>
            <w:vAlign w:val="bottom"/>
            <w:tcBorders>
              <w:top w:val="single" w:sz="8" w:color="0000FF"/>
            </w:tcBorders>
            <w:gridSpan w:val="37"/>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760" w:type="dxa"/>
            <w:vAlign w:val="bottom"/>
            <w:gridSpan w:val="4"/>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6"/>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and Principal Financial Officer of First Industrial Realty Trust, Inc., in its capacity as the sole general</w:t>
            </w:r>
          </w:p>
        </w:tc>
      </w:tr>
      <w:tr>
        <w:trPr>
          <w:trHeight w:val="142"/>
        </w:trPr>
        <w:tc>
          <w:tcPr>
            <w:tcW w:w="3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partner of First Industrial, L.P., pursuant to 18 U.S.C. Section 1350, as adopted pursuant to Section 906 of the Sarbanes-Oxley Act of 2002</w:t>
            </w:r>
          </w:p>
        </w:tc>
        <w:tc>
          <w:tcPr>
            <w:tcW w:w="680" w:type="dxa"/>
            <w:vAlign w:val="bottom"/>
            <w:tcBorders>
              <w:top w:val="single" w:sz="8" w:color="0000FF"/>
            </w:tcBorders>
            <w:gridSpan w:val="13"/>
          </w:tcPr>
          <w:p>
            <w:pPr>
              <w:spacing w:after="0"/>
              <w:rPr>
                <w:sz w:val="12"/>
                <w:szCs w:val="12"/>
                <w:color w:val="auto"/>
              </w:rPr>
            </w:pPr>
          </w:p>
        </w:tc>
        <w:tc>
          <w:tcPr>
            <w:tcW w:w="440" w:type="dxa"/>
            <w:vAlign w:val="bottom"/>
            <w:gridSpan w:val="17"/>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8" w:right="379" w:bottom="1440" w:gutter="0" w:footer="0" w:header="0"/>
        </w:sectPr>
      </w:pPr>
    </w:p>
    <w:bookmarkStart w:id="51" w:name="page52"/>
    <w:bookmarkEnd w:id="51"/>
    <w:p>
      <w:pPr>
        <w:ind w:left="240"/>
        <w:spacing w:after="0"/>
        <w:tabs>
          <w:tab w:leader="none" w:pos="5760" w:val="left"/>
        </w:tabs>
        <w:rPr>
          <w:sz w:val="20"/>
          <w:szCs w:val="20"/>
          <w:color w:val="auto"/>
        </w:rPr>
      </w:pPr>
      <w:r>
        <w:rPr>
          <w:rFonts w:ascii="Times New Roman" w:cs="Times New Roman" w:eastAsia="Times New Roman" w:hAnsi="Times New Roman"/>
          <w:sz w:val="16"/>
          <w:szCs w:val="16"/>
          <w:b w:val="1"/>
          <w:bCs w:val="1"/>
          <w:color w:val="auto"/>
        </w:rPr>
        <w:t>Exhibits</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8" w:lineRule="exact"/>
        <w:rPr>
          <w:sz w:val="20"/>
          <w:szCs w:val="20"/>
          <w:color w:val="auto"/>
        </w:rPr>
      </w:pPr>
    </w:p>
    <w:p>
      <w:pPr>
        <w:ind w:left="1180" w:right="160" w:hanging="793"/>
        <w:spacing w:after="0" w:line="245" w:lineRule="auto"/>
        <w:tabs>
          <w:tab w:leader="none" w:pos="1160" w:val="left"/>
        </w:tabs>
        <w:rPr>
          <w:rFonts w:ascii="Times New Roman" w:cs="Times New Roman" w:eastAsia="Times New Roman" w:hAnsi="Times New Roman"/>
          <w:sz w:val="16"/>
          <w:szCs w:val="16"/>
          <w:u w:val="single" w:color="auto"/>
          <w:color w:val="0000FF"/>
        </w:rPr>
      </w:pPr>
      <w:hyperlink r:id="rId109">
        <w:r>
          <w:rPr>
            <w:rFonts w:ascii="Times New Roman" w:cs="Times New Roman" w:eastAsia="Times New Roman" w:hAnsi="Times New Roman"/>
            <w:sz w:val="16"/>
            <w:szCs w:val="16"/>
            <w:u w:val="single" w:color="auto"/>
            <w:color w:val="0000FF"/>
          </w:rPr>
          <w:t>97.1</w:t>
        </w:r>
      </w:hyperlink>
      <w:r>
        <w:rPr>
          <w:rFonts w:ascii="Times New Roman" w:cs="Times New Roman" w:eastAsia="Times New Roman" w:hAnsi="Times New Roman"/>
          <w:sz w:val="16"/>
          <w:szCs w:val="16"/>
          <w:u w:val="single" w:color="auto"/>
          <w:color w:val="0000FF"/>
        </w:rPr>
        <w:tab/>
      </w:r>
      <w:hyperlink r:id="rId109">
        <w:r>
          <w:rPr>
            <w:rFonts w:ascii="Times New Roman" w:cs="Times New Roman" w:eastAsia="Times New Roman" w:hAnsi="Times New Roman"/>
            <w:sz w:val="16"/>
            <w:szCs w:val="16"/>
            <w:u w:val="single" w:color="auto"/>
            <w:color w:val="0000FF"/>
          </w:rPr>
          <w:t>First Industrial Realty Trust, Inc. Compensation Recovery Policy (incorporated by reference to Exhibit 97.1 of the Form 10-K of the Company and the</w:t>
        </w:r>
      </w:hyperlink>
      <w:r>
        <w:rPr>
          <w:rFonts w:ascii="Times New Roman" w:cs="Times New Roman" w:eastAsia="Times New Roman" w:hAnsi="Times New Roman"/>
          <w:sz w:val="16"/>
          <w:szCs w:val="16"/>
          <w:u w:val="single" w:color="auto"/>
          <w:color w:val="0000FF"/>
        </w:rPr>
        <w:t xml:space="preserve"> </w:t>
      </w:r>
      <w:hyperlink r:id="rId109">
        <w:r>
          <w:rPr>
            <w:rFonts w:ascii="Times New Roman" w:cs="Times New Roman" w:eastAsia="Times New Roman" w:hAnsi="Times New Roman"/>
            <w:sz w:val="16"/>
            <w:szCs w:val="16"/>
            <w:u w:val="single" w:color="auto"/>
            <w:color w:val="0000FF"/>
          </w:rPr>
          <w:t>Operating Partnership, filed February 14, 2024, Company's File No. 1-13102 and Operating Partnership's File No. 333-21873)</w:t>
        </w:r>
      </w:hyperlink>
    </w:p>
    <w:p>
      <w:pPr>
        <w:spacing w:after="0" w:line="97" w:lineRule="exact"/>
        <w:rPr>
          <w:rFonts w:ascii="Times New Roman" w:cs="Times New Roman" w:eastAsia="Times New Roman" w:hAnsi="Times New Roman"/>
          <w:sz w:val="16"/>
          <w:szCs w:val="16"/>
          <w:u w:val="single" w:color="auto"/>
          <w:color w:val="0000FF"/>
        </w:rPr>
      </w:pPr>
    </w:p>
    <w:p>
      <w:pPr>
        <w:ind w:left="1180" w:hanging="874"/>
        <w:spacing w:after="0" w:line="227" w:lineRule="auto"/>
        <w:tabs>
          <w:tab w:leader="none" w:pos="1160" w:val="left"/>
        </w:tabs>
        <w:rPr>
          <w:sz w:val="20"/>
          <w:szCs w:val="20"/>
          <w:color w:val="auto"/>
        </w:rPr>
      </w:pPr>
      <w:r>
        <w:rPr>
          <w:rFonts w:ascii="Times New Roman" w:cs="Times New Roman" w:eastAsia="Times New Roman" w:hAnsi="Times New Roman"/>
          <w:sz w:val="16"/>
          <w:szCs w:val="16"/>
          <w:color w:val="auto"/>
        </w:rPr>
        <w:t>101.1*</w:t>
      </w:r>
      <w:r>
        <w:rPr>
          <w:sz w:val="20"/>
          <w:szCs w:val="20"/>
          <w:color w:val="auto"/>
        </w:rPr>
        <w:tab/>
      </w:r>
      <w:r>
        <w:rPr>
          <w:rFonts w:ascii="Times New Roman" w:cs="Times New Roman" w:eastAsia="Times New Roman" w:hAnsi="Times New Roman"/>
          <w:sz w:val="16"/>
          <w:szCs w:val="16"/>
          <w:color w:val="auto"/>
        </w:rPr>
        <w:t>The following financial statements from First Industrial Realty Trust, Inc.'s and First Industrial L.P.'s Annual Report on Form 10-K for the year ended December 31, 2025, formatted in XBRL: (i) Consolidated Balance Sheets (audited), (ii) Consolidated Statements of Operations (audited), (iii) Consolidated Statements of Comprehensive Income (audited), (iv) Consolidated Statement of Changes in Equity / Consolidated Statement of Changes in Partners' Capital (audited), (v) Consolidated Statements of Cash Flows (audited) and (vi) Notes to Consolidated Financial Statements (audited)</w:t>
      </w:r>
    </w:p>
    <w:p>
      <w:pPr>
        <w:spacing w:after="0" w:line="100" w:lineRule="exact"/>
        <w:rPr>
          <w:rFonts w:ascii="Times New Roman" w:cs="Times New Roman" w:eastAsia="Times New Roman" w:hAnsi="Times New Roman"/>
          <w:sz w:val="16"/>
          <w:szCs w:val="16"/>
          <w:u w:val="single" w:color="auto"/>
          <w:color w:val="0000FF"/>
        </w:rPr>
      </w:pPr>
    </w:p>
    <w:p>
      <w:pPr>
        <w:ind w:left="1180" w:hanging="767"/>
        <w:spacing w:after="0"/>
        <w:tabs>
          <w:tab w:leader="none" w:pos="118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9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w:t>
      </w:r>
    </w:p>
    <w:p>
      <w:pPr>
        <w:spacing w:after="0" w:line="148"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53" w:lineRule="exact"/>
        <w:rPr>
          <w:rFonts w:ascii="Times New Roman" w:cs="Times New Roman" w:eastAsia="Times New Roman" w:hAnsi="Times New Roman"/>
          <w:sz w:val="16"/>
          <w:szCs w:val="16"/>
          <w:color w:val="auto"/>
        </w:rPr>
      </w:pPr>
    </w:p>
    <w:p>
      <w:pPr>
        <w:ind w:left="680" w:hanging="654"/>
        <w:spacing w:after="0"/>
        <w:tabs>
          <w:tab w:leader="none" w:pos="6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40" w:lineRule="exact"/>
        <w:rPr>
          <w:rFonts w:ascii="Times New Roman" w:cs="Times New Roman" w:eastAsia="Times New Roman" w:hAnsi="Times New Roman"/>
          <w:sz w:val="16"/>
          <w:szCs w:val="16"/>
          <w:u w:val="single" w:color="auto"/>
          <w:color w:val="0000FF"/>
        </w:rPr>
      </w:pPr>
    </w:p>
    <w:p>
      <w:pPr>
        <w:ind w:left="680" w:hanging="654"/>
        <w:spacing w:after="0"/>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compensatory plan or arrangement contemplated by Item 15 a (3) of Form 10-K.</w:t>
      </w:r>
    </w:p>
    <w:p>
      <w:pPr>
        <w:spacing w:after="0" w:line="307" w:lineRule="exact"/>
        <w:rPr>
          <w:rFonts w:ascii="Times New Roman" w:cs="Times New Roman" w:eastAsia="Times New Roman" w:hAnsi="Times New Roman"/>
          <w:sz w:val="16"/>
          <w:szCs w:val="16"/>
          <w:u w:val="single" w:color="auto"/>
          <w:color w:val="0000FF"/>
        </w:rPr>
      </w:pPr>
    </w:p>
    <w:p>
      <w:pPr>
        <w:ind w:left="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175" w:lineRule="exact"/>
        <w:rPr>
          <w:rFonts w:ascii="Times New Roman" w:cs="Times New Roman" w:eastAsia="Times New Roman" w:hAnsi="Times New Roman"/>
          <w:sz w:val="16"/>
          <w:szCs w:val="16"/>
          <w:u w:val="single" w:color="auto"/>
          <w:color w:val="0000FF"/>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6"/>
          <w:szCs w:val="16"/>
          <w:u w:val="single" w:color="auto"/>
          <w:color w:val="0000FF"/>
        </w:rPr>
      </w:pPr>
    </w:p>
    <w:p>
      <w:pPr>
        <w:spacing w:after="0" w:line="363" w:lineRule="exact"/>
        <w:rPr>
          <w:rFonts w:ascii="Times New Roman" w:cs="Times New Roman" w:eastAsia="Times New Roman" w:hAnsi="Times New Roman"/>
          <w:sz w:val="16"/>
          <w:szCs w:val="16"/>
          <w:u w:val="single" w:color="auto"/>
          <w:color w:val="0000FF"/>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28" w:right="4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200" w:type="dxa"/>
            <w:vAlign w:val="bottom"/>
            <w:gridSpan w:val="25"/>
            <w:vMerge w:val="continue"/>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88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238)</w:t>
            </w:r>
          </w:p>
        </w:tc>
        <w:tc>
          <w:tcPr>
            <w:tcW w:w="9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660" w:type="dxa"/>
            <w:vAlign w:val="bottom"/>
            <w:gridSpan w:val="17"/>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Consolidated Balance Sheets as of December 31, 2025 and 2024</w:t>
            </w:r>
          </w:p>
        </w:tc>
        <w:tc>
          <w:tcPr>
            <w:tcW w:w="5220" w:type="dxa"/>
            <w:vAlign w:val="bottom"/>
            <w:gridSpan w:val="7"/>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9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960" w:type="dxa"/>
            <w:vAlign w:val="bottom"/>
            <w:gridSpan w:val="4"/>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84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2040" w:type="dxa"/>
            <w:vAlign w:val="bottom"/>
            <w:gridSpan w:val="2"/>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4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 for the Years Ended December 31, 2025, 2024 and 2023</w:t>
            </w:r>
          </w:p>
        </w:tc>
        <w:tc>
          <w:tcPr>
            <w:tcW w:w="38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4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420" w:type="dxa"/>
            <w:vAlign w:val="bottom"/>
            <w:gridSpan w:val="3"/>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First Industrial, L.P.</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660" w:type="dxa"/>
            <w:vAlign w:val="bottom"/>
            <w:gridSpan w:val="17"/>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Consolidated Balance Sheets as of December 31, 2025 and 2024</w:t>
            </w:r>
          </w:p>
        </w:tc>
        <w:tc>
          <w:tcPr>
            <w:tcW w:w="5220" w:type="dxa"/>
            <w:vAlign w:val="bottom"/>
            <w:gridSpan w:val="7"/>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9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960" w:type="dxa"/>
            <w:vAlign w:val="bottom"/>
            <w:gridSpan w:val="4"/>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84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2040" w:type="dxa"/>
            <w:vAlign w:val="bottom"/>
            <w:gridSpan w:val="2"/>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1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Partners' Capital for the Years Ended December 31, 2025, 2024 and 2023</w:t>
            </w:r>
          </w:p>
        </w:tc>
        <w:tc>
          <w:tcPr>
            <w:tcW w:w="17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1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7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88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9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1.</w:t>
            </w:r>
          </w:p>
        </w:tc>
        <w:tc>
          <w:tcPr>
            <w:tcW w:w="29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Organization</w:t>
            </w:r>
          </w:p>
        </w:tc>
        <w:tc>
          <w:tcPr>
            <w:tcW w:w="6460" w:type="dxa"/>
            <w:vAlign w:val="bottom"/>
            <w:gridSpan w:val="11"/>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2.</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3.</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Investment in Real Estate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4.</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Indebtedness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5.</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Variable Interest Entities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6.</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Equity of the Company and Partners' Capital of the Operating Partnership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7.</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Accumulated Other Comprehensive Income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8.</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Earnings Per Share and Earnings Per Unit ("EPS"/"EPU")</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000FF"/>
              </w:rPr>
              <w:t>9.</w:t>
            </w:r>
          </w:p>
        </w:tc>
        <w:tc>
          <w:tcPr>
            <w:tcW w:w="93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10. Leases</w:t>
            </w:r>
          </w:p>
        </w:tc>
        <w:tc>
          <w:tcPr>
            <w:tcW w:w="420" w:type="dxa"/>
            <w:vAlign w:val="bottom"/>
            <w:gridSpan w:val="3"/>
          </w:tcPr>
          <w:p>
            <w:pPr>
              <w:spacing w:after="0"/>
              <w:rPr>
                <w:sz w:val="18"/>
                <w:szCs w:val="18"/>
                <w:color w:val="auto"/>
              </w:rPr>
            </w:pPr>
          </w:p>
        </w:tc>
        <w:tc>
          <w:tcPr>
            <w:tcW w:w="8360" w:type="dxa"/>
            <w:vAlign w:val="bottom"/>
            <w:gridSpan w:val="18"/>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11. Long-Term Compensation</w:t>
            </w:r>
          </w:p>
        </w:tc>
        <w:tc>
          <w:tcPr>
            <w:tcW w:w="7380" w:type="dxa"/>
            <w:vAlign w:val="bottom"/>
            <w:gridSpan w:val="14"/>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12. Derivative Instruments</w:t>
            </w:r>
          </w:p>
        </w:tc>
        <w:tc>
          <w:tcPr>
            <w:tcW w:w="240" w:type="dxa"/>
            <w:vAlign w:val="bottom"/>
            <w:gridSpan w:val="2"/>
          </w:tcPr>
          <w:p>
            <w:pPr>
              <w:spacing w:after="0"/>
              <w:rPr>
                <w:sz w:val="18"/>
                <w:szCs w:val="18"/>
                <w:color w:val="auto"/>
              </w:rPr>
            </w:pPr>
          </w:p>
        </w:tc>
        <w:tc>
          <w:tcPr>
            <w:tcW w:w="7380" w:type="dxa"/>
            <w:vAlign w:val="bottom"/>
            <w:gridSpan w:val="14"/>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13. Related Party Transactions</w:t>
            </w:r>
          </w:p>
        </w:tc>
        <w:tc>
          <w:tcPr>
            <w:tcW w:w="7340" w:type="dxa"/>
            <w:vAlign w:val="bottom"/>
            <w:gridSpan w:val="13"/>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14. Commitments and Contingencies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15. Subsequent Events</w:t>
            </w:r>
          </w:p>
        </w:tc>
        <w:tc>
          <w:tcPr>
            <w:tcW w:w="6880" w:type="dxa"/>
            <w:vAlign w:val="bottom"/>
            <w:gridSpan w:val="12"/>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88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Schedule III: Real Estate and Accumulated Depreciation at December 31, 2025</w:t>
            </w:r>
          </w:p>
        </w:tc>
        <w:tc>
          <w:tcPr>
            <w:tcW w:w="9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53" w:name="page54"/>
    <w:bookmarkEnd w:id="5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First Industrial Realty Trust,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Industrial Realty Trust, Inc. and its subsidiaries (the "Company") as of December 31, 2025 and 2024, and the related consolidated statements of operations, of comprehensive income, of changes in equity and of cash flows for each of the three years in the period ended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upon acquisition of a property, management allocates the purchase price of the property based upon the fair value of the assets acquired and liabilities assumed, which generally consists of land, buildings, tenant improvements, construction in progress, leasing commissions and lease intangibles including in-place lease assets and above market and below market lease assets and liabilities. The purchase price is allocated to the fair value of the tangible assets of an acquired property by valuing the property as if it were vacant. The determination of fair value for tangible assets includes the use of significant assumptions such as land comparables, discount rates, terminal capitalization rates and market rent assumptions. The Company completed industrial property acquisitions for total consideration of $276.6 million during the year ended December 31, 2025.</w:t>
      </w:r>
    </w:p>
    <w:p>
      <w:pPr>
        <w:spacing w:after="0" w:line="2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purchase price allocation is a critical audit matter are (i) the significant judgment by management when determining the fair value estimate of assets acquired and liabilities assumed, (ii) a high degree of auditor judgment, subjectivity and effort in performing procedures and evaluating management's significant assumptions related to land comparables, discount rates, terminal capitalization rates, and market rental rates; and (iii) the audit effort involved the use of professionals with specialized skill and knowledge.</w:t>
      </w:r>
    </w:p>
    <w:p>
      <w:pPr>
        <w:spacing w:after="0" w:line="204"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purchase price allocations, including controls over management's valuation of the assets acquired and liabilities assumed. These procedures also included, among others, (i) reading the purchase and sales agreements and (ii) testing management’s process for determining the fair value of land and building and improvements/construction in progress, (iii) testing the completeness and accuracy of the data used in the fair value estimates, (iv) evaluating the appropriateness of the valuation methods and (v) evaluating the reasonableness of significant assumptions related to land comparables, discount rates, terminal capitalization rates, and market rent. Evaluating management's assumptions relating to the land comparables, discount rates, terminal capitalization rates, and market rent involved evaluating whether the assumptions used by management were reasonable considering the consistency with external market data and comparable transactions. Professionals with specialized skill and knowledge were used to assist in obtaining audit evidence over land comparables.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First Industrial,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First Industrial, L.P. and its subsidiaries (the "Operating Partnership") as of December 31, 2025 and 2024, and the related consolidated statements of operations, of comprehensive income, of changes in partners' capital and of cash flows for each of the three years in the period ended December 31, 2025, including the related notes and financial statement schedule listed in the accompanying index (collectively referred to as the "consolidated financial statements"). We also have audited the Operating Partnership's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0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Operating Partnership as of December 31, 2025 and 2024, and the results of its operations and its cash flows for each of the three years in the period ended December 31, 2025 in conformity with accounting principles generally accepted in the United States of America. Also in our opinion, the Operating Partnership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COSO.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Operating Partnership's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Operating Partnership's consolidated financial statements and on the Operating Partnership's internal control over financial reporting based on our audits. We are a public accounting firm registered with the Public Company Accounting Oversight Board (United States) (PCAOB) and are required to be independent with respect to the Operating Partnership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4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upon acquisition of a property, management allocates the purchase price of the property based upon the fair value of the assets acquired and liabilities assumed, which generally consists of land, buildings, tenant improvements, construction in progress, leasing commissions and lease intangibles including in-place lease assets and above market and below market lease assets and liabilities. The purchase price is allocated to the fair value of the tangible assets of an acquired property by valuing the property as if it were vacant. The determination of fair value for tangible assets includes the use of significant assumptions such as land comparables, discount rates, terminal capitalization rates and market rent assumptions. The Operating Partnership completed industrial property acquisitions for total consideration of $276.6 million during the year ended December 31, 2025.</w:t>
      </w:r>
    </w:p>
    <w:p>
      <w:pPr>
        <w:spacing w:after="0" w:line="2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purchase price allocation is a critical audit matter are (i) the significant judgment by management when determining the fair value estimate of assets acquired and liabilities assumed, (ii) a high degree of auditor judgment, subjectivity and effort in performing procedures and evaluating management's significant assumptions related to land comparables, discount rates, terminal capitalization rates, and market rental rates; and (iii) the audit effort involved the use of professionals with specialized skill and knowledge.</w:t>
      </w:r>
    </w:p>
    <w:p>
      <w:pPr>
        <w:spacing w:after="0" w:line="204"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purchase price allocations, including controls over management's valuation of the assets acquired and liabilities assumed. These procedures also included, among others, (i) reading the purchase and sales agreements and (ii) testing management’s process for determining the fair value of land and building and improvements/construction in progress, (iii) testing the completeness and accuracy of the data used in the fair value estimates, (iv) evaluating the appropriateness of the valuation methods and (v) evaluating the reasonableness of significant assumptions related to land comparables, discount rates, terminal capitalization rates, and market rent. Evaluating management's assumptions relating to the land comparables, discount rates, terminal capitalization rates, and market rent involved evaluating whether the assumptions used by management were reasonable considering the consistency with external market data and comparable transactions. Professionals with specialized skill and knowledge were used to assist in obtaining audit evidence over land comparables.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Operating Partnership's auditor since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60" w:type="dxa"/>
            <w:vAlign w:val="bottom"/>
            <w:gridSpan w:val="4"/>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235"/>
        </w:trPr>
        <w:tc>
          <w:tcPr>
            <w:tcW w:w="824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4,274,540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3,897,284</w:t>
            </w:r>
          </w:p>
        </w:tc>
        <w:tc>
          <w:tcPr>
            <w:tcW w:w="0" w:type="dxa"/>
            <w:vAlign w:val="bottom"/>
          </w:tcPr>
          <w:p>
            <w:pPr>
              <w:spacing w:after="0"/>
              <w:rPr>
                <w:sz w:val="1"/>
                <w:szCs w:val="1"/>
                <w:color w:val="auto"/>
              </w:rPr>
            </w:pPr>
          </w:p>
        </w:tc>
      </w:tr>
      <w:tr>
        <w:trPr>
          <w:trHeight w:val="229"/>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(1,085,708)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Investment in Real Estate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5,175,911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4,760,684</w:t>
            </w:r>
          </w:p>
        </w:tc>
        <w:tc>
          <w:tcPr>
            <w:tcW w:w="0" w:type="dxa"/>
            <w:vAlign w:val="bottom"/>
          </w:tcPr>
          <w:p>
            <w:pPr>
              <w:spacing w:after="0"/>
              <w:rPr>
                <w:sz w:val="1"/>
                <w:szCs w:val="1"/>
                <w:color w:val="auto"/>
              </w:rPr>
            </w:pPr>
          </w:p>
        </w:tc>
      </w:tr>
      <w:tr>
        <w:trPr>
          <w:trHeight w:val="156"/>
        </w:trPr>
        <w:tc>
          <w:tcPr>
            <w:tcW w:w="82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Real Estate and Other Assets Held for Sale, Net of Accumulated Depreciation and Amortization of $— and</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203,188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5,688,081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5,261,426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Indebtedness: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Mortgage Loan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Unsecured Notes,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Unsecured Term Loans,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922,476</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Unsecured Credit Facility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132,740</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Rents Received in Advance and Security Deposits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and Distributions Payable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2,515,398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Industrial Realty Trust Inc.'s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Stock ($0.01 par value, 225,000,000 shares authorized and 132,470,326 and</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132,349,119 shares issued and outstanding)</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2,425,253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First Industrial Realty Trust, Inc.'s 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2,665,607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2,746,028</w:t>
            </w:r>
          </w:p>
        </w:tc>
        <w:tc>
          <w:tcPr>
            <w:tcW w:w="0" w:type="dxa"/>
            <w:vAlign w:val="bottom"/>
          </w:tcPr>
          <w:p>
            <w:pPr>
              <w:spacing w:after="0"/>
              <w:rPr>
                <w:sz w:val="1"/>
                <w:szCs w:val="1"/>
                <w:color w:val="auto"/>
              </w:rPr>
            </w:pPr>
          </w:p>
        </w:tc>
      </w:tr>
      <w:tr>
        <w:trPr>
          <w:trHeight w:val="223"/>
        </w:trPr>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5,688,081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5,261,426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719,220</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660,967</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602,294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Joint Venture Fees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614,027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165,655</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Joint Venture Development Services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369,394</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95,650</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0" w:type="dxa"/>
            <w:vAlign w:val="bottom"/>
          </w:tcPr>
          <w:p>
            <w:pPr>
              <w:spacing w:after="0"/>
              <w:rPr>
                <w:sz w:val="1"/>
                <w:szCs w:val="1"/>
                <w:color w:val="auto"/>
              </w:rPr>
            </w:pPr>
          </w:p>
        </w:tc>
      </w:tr>
      <w:tr>
        <w:trPr>
          <w:trHeight w:val="155"/>
        </w:trPr>
        <w:tc>
          <w:tcPr>
            <w:tcW w:w="6700" w:type="dxa"/>
            <w:vAlign w:val="bottom"/>
            <w:shd w:val="clear" w:color="auto" w:fill="CCEEFF"/>
          </w:tcPr>
          <w:p>
            <w:pPr>
              <w:ind w:left="1120"/>
              <w:spacing w:after="0" w:line="156" w:lineRule="exact"/>
              <w:rPr>
                <w:sz w:val="20"/>
                <w:szCs w:val="20"/>
                <w:color w:val="auto"/>
              </w:rPr>
            </w:pPr>
            <w:r>
              <w:rPr>
                <w:rFonts w:ascii="Times New Roman" w:cs="Times New Roman" w:eastAsia="Times New Roman" w:hAnsi="Times New Roman"/>
                <w:sz w:val="18"/>
                <w:szCs w:val="18"/>
                <w:color w:val="auto"/>
              </w:rPr>
              <w:t>Income from Operations Before Equity in Income of Joint Venture and</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of Joint Venture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285,837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the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0" w:type="dxa"/>
            <w:vAlign w:val="bottom"/>
          </w:tcPr>
          <w:p>
            <w:pPr>
              <w:spacing w:after="0"/>
              <w:rPr>
                <w:sz w:val="1"/>
                <w:szCs w:val="1"/>
                <w:color w:val="auto"/>
              </w:rPr>
            </w:pPr>
          </w:p>
        </w:tc>
      </w:tr>
      <w:tr>
        <w:trPr>
          <w:trHeight w:val="156"/>
        </w:trPr>
        <w:tc>
          <w:tcPr>
            <w:tcW w:w="670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 and</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247,443</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287,554</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Allocable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287,343</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274,584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132,514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132,416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132,341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6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5"/>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285,837</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Mark-to-Market Loss on Derivative Instruments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Derivative Instruments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Derivative Instruments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274,493</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w:t>
            </w:r>
          </w:p>
        </w:tc>
      </w:tr>
      <w:tr>
        <w:trPr>
          <w:trHeight w:val="248"/>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First Industrial Realty Trust,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2,401,334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2,530,299</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274,816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285,837</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(11,344)</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Based Compensation Activity</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0" w:type="dxa"/>
            <w:vAlign w:val="bottom"/>
          </w:tcPr>
          <w:p>
            <w:pPr>
              <w:spacing w:after="0"/>
              <w:rPr>
                <w:sz w:val="1"/>
                <w:szCs w:val="1"/>
                <w:color w:val="auto"/>
              </w:rPr>
            </w:pPr>
          </w:p>
        </w:tc>
      </w:tr>
      <w:tr>
        <w:trPr>
          <w:trHeight w:val="146"/>
        </w:trPr>
        <w:tc>
          <w:tcPr>
            <w:tcW w:w="41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Common Stock Dividends and Unit Distributions</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(173,255)</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($1.28 Per Share/Unit)</w:t>
            </w: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Limited Partner Units to Common Stock</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Limited Partner Units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(11,523)</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Reallocation—Additional Paid-in Capital</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Reallocation—Other Comprehensive Income</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2,411,673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127,707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2,635,105</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287,554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295,988</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Based Compensation Activity</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18,608</w:t>
            </w:r>
          </w:p>
        </w:tc>
        <w:tc>
          <w:tcPr>
            <w:tcW w:w="0" w:type="dxa"/>
            <w:vAlign w:val="bottom"/>
          </w:tcPr>
          <w:p>
            <w:pPr>
              <w:spacing w:after="0"/>
              <w:rPr>
                <w:sz w:val="1"/>
                <w:szCs w:val="1"/>
                <w:color w:val="auto"/>
              </w:rPr>
            </w:pPr>
          </w:p>
        </w:tc>
      </w:tr>
      <w:tr>
        <w:trPr>
          <w:trHeight w:val="146"/>
        </w:trPr>
        <w:tc>
          <w:tcPr>
            <w:tcW w:w="41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Common Stock Dividends and Unit Distributions</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(201,065)</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($1.48 Per Share/Unit)</w:t>
            </w: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Limited Partner Units to Common Stock</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Limited Partner Units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Reallocation—Additional Paid-in Capital</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Reallocation—Other Comprehensive Income</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2,425,253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219,095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80,421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2,746,028</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264,079</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(17,229)</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Based Compensation Activity</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19,132</w:t>
            </w:r>
          </w:p>
        </w:tc>
        <w:tc>
          <w:tcPr>
            <w:tcW w:w="0" w:type="dxa"/>
            <w:vAlign w:val="bottom"/>
          </w:tcPr>
          <w:p>
            <w:pPr>
              <w:spacing w:after="0"/>
              <w:rPr>
                <w:sz w:val="1"/>
                <w:szCs w:val="1"/>
                <w:color w:val="auto"/>
              </w:rPr>
            </w:pPr>
          </w:p>
        </w:tc>
      </w:tr>
      <w:tr>
        <w:trPr>
          <w:trHeight w:val="146"/>
        </w:trPr>
        <w:tc>
          <w:tcPr>
            <w:tcW w:w="41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Common Stock Dividends and Unit Distributions</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(243,177)</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($1.78 Per Share/Unit)</w:t>
            </w: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Limited Partner Units to Common Stock</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0" w:type="dxa"/>
            <w:vAlign w:val="bottom"/>
          </w:tcPr>
          <w:p>
            <w:pPr>
              <w:spacing w:after="0"/>
              <w:rPr>
                <w:sz w:val="1"/>
                <w:szCs w:val="1"/>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Reallocation—Additional Paid-in Capital</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Reallocation—Other Comprehensive Income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2,436,238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230,668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87,540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2,758,930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4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264,079</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295,988</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285,837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130,427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0" w:type="dxa"/>
            <w:vAlign w:val="bottom"/>
          </w:tcPr>
          <w:p>
            <w:pPr>
              <w:spacing w:after="0"/>
              <w:rPr>
                <w:sz w:val="1"/>
                <w:szCs w:val="1"/>
                <w:color w:val="auto"/>
              </w:rPr>
            </w:pPr>
          </w:p>
        </w:tc>
      </w:tr>
      <w:tr>
        <w:trPr>
          <w:trHeight w:val="195"/>
        </w:trPr>
        <w:tc>
          <w:tcPr>
            <w:tcW w:w="6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Amortization, Including Equity Based Compensation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Equity in Income of Joint Venture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0" w:type="dxa"/>
            <w:vAlign w:val="bottom"/>
          </w:tcPr>
          <w:p>
            <w:pPr>
              <w:spacing w:after="0"/>
              <w:rPr>
                <w:sz w:val="1"/>
                <w:szCs w:val="1"/>
                <w:color w:val="auto"/>
              </w:rPr>
            </w:pPr>
          </w:p>
        </w:tc>
      </w:tr>
      <w:tr>
        <w:trPr>
          <w:trHeight w:val="195"/>
        </w:trPr>
        <w:tc>
          <w:tcPr>
            <w:tcW w:w="6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Distributions from the Joint Venture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(95,650)</w:t>
            </w:r>
          </w:p>
        </w:tc>
        <w:tc>
          <w:tcPr>
            <w:tcW w:w="0" w:type="dxa"/>
            <w:vAlign w:val="bottom"/>
          </w:tcPr>
          <w:p>
            <w:pPr>
              <w:spacing w:after="0"/>
              <w:rPr>
                <w:sz w:val="1"/>
                <w:szCs w:val="1"/>
                <w:color w:val="auto"/>
              </w:rPr>
            </w:pPr>
          </w:p>
        </w:tc>
      </w:tr>
      <w:tr>
        <w:trPr>
          <w:trHeight w:val="195"/>
        </w:trPr>
        <w:tc>
          <w:tcPr>
            <w:tcW w:w="6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Payments to Settle Derivative Instruments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Straight-line Rental Income and Expense,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(21,925)</w:t>
            </w:r>
          </w:p>
        </w:tc>
        <w:tc>
          <w:tcPr>
            <w:tcW w:w="0" w:type="dxa"/>
            <w:vAlign w:val="bottom"/>
          </w:tcPr>
          <w:p>
            <w:pPr>
              <w:spacing w:after="0"/>
              <w:rPr>
                <w:sz w:val="1"/>
                <w:szCs w:val="1"/>
                <w:color w:val="auto"/>
              </w:rPr>
            </w:pPr>
          </w:p>
        </w:tc>
      </w:tr>
      <w:tr>
        <w:trPr>
          <w:trHeight w:val="195"/>
        </w:trPr>
        <w:tc>
          <w:tcPr>
            <w:tcW w:w="6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Increase in Tenant Accounts Receivable, Prepaid Expenses and Other Assets, Net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146"/>
        </w:trPr>
        <w:tc>
          <w:tcPr>
            <w:tcW w:w="6700" w:type="dxa"/>
            <w:vAlign w:val="bottom"/>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rPr>
              <w:t>Increase (Decrease) in Accounts Payable, Accrued Expenses, Other Liabilities, Rents Received in</w:t>
            </w: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Advance and Security Deposits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461,263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304,815</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Acquisitions of Real Estate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(131,057)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Additions to Investment in Real Estate and Non-Acquisition Tenant Improvements and Lease Costs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(361,927)</w:t>
            </w: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Proceeds from Sales of Investments in Real Estate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120,411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(Increase) Decrease in Escrow Deposits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to and Investments in Joint Venture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from the Joint Venture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Investing Activity</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(524,179)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(378,306)</w:t>
            </w: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Financing Issuance Costs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Paid on Vested Equity Compensation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Dividends and Unit Distributions Paid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(169,368)</w:t>
            </w: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Repayments on Mortgage Loan Payable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the Issuance of Senior Unsecured Notes, Net of Underwriter's Discount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Unsecured Credit Facility</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374,000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on Unsecured Credit Facility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89,266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(27,783)</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(101,274)</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145,118</w:t>
            </w:r>
          </w:p>
        </w:tc>
        <w:tc>
          <w:tcPr>
            <w:tcW w:w="0" w:type="dxa"/>
            <w:vAlign w:val="bottom"/>
          </w:tcPr>
          <w:p>
            <w:pPr>
              <w:spacing w:after="0"/>
              <w:rPr>
                <w:sz w:val="1"/>
                <w:szCs w:val="1"/>
                <w:color w:val="auto"/>
              </w:rPr>
            </w:pPr>
          </w:p>
        </w:tc>
      </w:tr>
      <w:tr>
        <w:trPr>
          <w:trHeight w:val="190"/>
        </w:trPr>
        <w:tc>
          <w:tcPr>
            <w:tcW w:w="6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78,032</w:t>
            </w: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51,682</w:t>
            </w:r>
          </w:p>
        </w:tc>
        <w:tc>
          <w:tcPr>
            <w:tcW w:w="100" w:type="dxa"/>
            <w:vAlign w:val="bottom"/>
          </w:tcPr>
          <w:p>
            <w:pPr>
              <w:spacing w:after="0"/>
              <w:rPr>
                <w:sz w:val="16"/>
                <w:szCs w:val="16"/>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43,844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0"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4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 TO STATEMENTS OF CASH FLOWS: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Net of Interest Expense Capitalized</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69,043</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82,871</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72,881</w:t>
            </w:r>
          </w:p>
        </w:tc>
        <w:tc>
          <w:tcPr>
            <w:tcW w:w="0" w:type="dxa"/>
            <w:vAlign w:val="bottom"/>
          </w:tcPr>
          <w:p>
            <w:pPr>
              <w:spacing w:after="0"/>
              <w:rPr>
                <w:sz w:val="1"/>
                <w:szCs w:val="1"/>
                <w:color w:val="auto"/>
              </w:rPr>
            </w:pP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Capitalized in Connection with Development Activity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0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Operating Activities: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Dividends and Unit Distributions Payable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62,656</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51,189</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44,201</w:t>
            </w:r>
          </w:p>
        </w:tc>
        <w:tc>
          <w:tcPr>
            <w:tcW w:w="0" w:type="dxa"/>
            <w:vAlign w:val="bottom"/>
          </w:tcPr>
          <w:p>
            <w:pPr>
              <w:spacing w:after="0"/>
              <w:rPr>
                <w:sz w:val="1"/>
                <w:szCs w:val="1"/>
                <w:color w:val="auto"/>
              </w:rPr>
            </w:pP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Limited Partnership Units for Common Stock:</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01"/>
        </w:trPr>
        <w:tc>
          <w:tcPr>
            <w:tcW w:w="6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Assumption of Liabilities in Connection with the Acquisition of Real Estate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vMerge w:val="continue"/>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Related to Construction in Progress and Additions to Investment in Real Estate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Improvements Funded by Tenant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9,325</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0"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1,872,086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1,795,136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3,897,284</w:t>
            </w:r>
          </w:p>
        </w:tc>
        <w:tc>
          <w:tcPr>
            <w:tcW w:w="0" w:type="dxa"/>
            <w:vAlign w:val="bottom"/>
          </w:tcPr>
          <w:p>
            <w:pPr>
              <w:spacing w:after="0"/>
              <w:rPr>
                <w:sz w:val="1"/>
                <w:szCs w:val="1"/>
                <w:color w:val="auto"/>
              </w:rPr>
            </w:pPr>
          </w:p>
        </w:tc>
      </w:tr>
      <w:tr>
        <w:trPr>
          <w:trHeight w:val="22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(1,085,708)</w:t>
            </w:r>
          </w:p>
        </w:tc>
        <w:tc>
          <w:tcPr>
            <w:tcW w:w="0" w:type="dxa"/>
            <w:vAlign w:val="bottom"/>
          </w:tcPr>
          <w:p>
            <w:pPr>
              <w:spacing w:after="0"/>
              <w:rPr>
                <w:sz w:val="1"/>
                <w:szCs w:val="1"/>
                <w:color w:val="auto"/>
              </w:rPr>
            </w:pPr>
          </w:p>
        </w:tc>
      </w:tr>
      <w:tr>
        <w:trPr>
          <w:trHeight w:val="155"/>
        </w:trPr>
        <w:tc>
          <w:tcPr>
            <w:tcW w:w="8220" w:type="dxa"/>
            <w:vAlign w:val="bottom"/>
          </w:tcPr>
          <w:p>
            <w:pPr>
              <w:ind w:left="1120"/>
              <w:spacing w:after="0" w:line="156" w:lineRule="exact"/>
              <w:rPr>
                <w:sz w:val="20"/>
                <w:szCs w:val="20"/>
                <w:color w:val="auto"/>
              </w:rPr>
            </w:pPr>
            <w:r>
              <w:rPr>
                <w:rFonts w:ascii="Times New Roman" w:cs="Times New Roman" w:eastAsia="Times New Roman" w:hAnsi="Times New Roman"/>
                <w:sz w:val="18"/>
                <w:szCs w:val="18"/>
                <w:color w:val="auto"/>
              </w:rPr>
              <w:t>Net Investment in Real Estate (including $288,680 and $296,588 related to consolidated variable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interest entities, see Note 5)</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5,175,911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4,760,684</w:t>
            </w:r>
          </w:p>
        </w:tc>
        <w:tc>
          <w:tcPr>
            <w:tcW w:w="0" w:type="dxa"/>
            <w:vAlign w:val="bottom"/>
          </w:tcPr>
          <w:p>
            <w:pPr>
              <w:spacing w:after="0"/>
              <w:rPr>
                <w:sz w:val="1"/>
                <w:szCs w:val="1"/>
                <w:color w:val="auto"/>
              </w:rPr>
            </w:pPr>
          </w:p>
        </w:tc>
      </w:tr>
      <w:tr>
        <w:trPr>
          <w:trHeight w:val="156"/>
        </w:trPr>
        <w:tc>
          <w:tcPr>
            <w:tcW w:w="822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Real Estate and Other Assets Held for Sale, Net of Accumulated Depreciation and Amortization of $— and</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Tenant 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212,417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5,270,655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Indebtedness: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Mortgage Loan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2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Senior Unsecured Notes,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995,184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Unsecured Term Loans,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922,476</w:t>
            </w:r>
          </w:p>
        </w:tc>
        <w:tc>
          <w:tcPr>
            <w:tcW w:w="0" w:type="dxa"/>
            <w:vAlign w:val="bottom"/>
          </w:tcPr>
          <w:p>
            <w:pPr>
              <w:spacing w:after="0"/>
              <w:rPr>
                <w:sz w:val="1"/>
                <w:szCs w:val="1"/>
                <w:color w:val="auto"/>
              </w:rPr>
            </w:pPr>
          </w:p>
        </w:tc>
      </w:tr>
      <w:tr>
        <w:trPr>
          <w:trHeight w:val="230"/>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Unsecured Credit Facility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132,740</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Rents Received in Advance and Security Deposits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Distributions Payable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2,515,398</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Industrial, L.P.'s Partners' Capital:</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General Partner Units (132,470,326 and 132,349,119 units outstanding)</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2,598,962</w:t>
            </w:r>
          </w:p>
        </w:tc>
        <w:tc>
          <w:tcPr>
            <w:tcW w:w="0" w:type="dxa"/>
            <w:vAlign w:val="bottom"/>
          </w:tcPr>
          <w:p>
            <w:pPr>
              <w:spacing w:after="0"/>
              <w:rPr>
                <w:sz w:val="1"/>
                <w:szCs w:val="1"/>
                <w:color w:val="auto"/>
              </w:rPr>
            </w:pPr>
          </w:p>
        </w:tc>
      </w:tr>
      <w:tr>
        <w:trPr>
          <w:trHeight w:val="230"/>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Limited Partner Units (4,031,088 and 3,640,860 units outstanding)</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0" w:type="dxa"/>
            <w:vAlign w:val="bottom"/>
          </w:tcPr>
          <w:p>
            <w:pPr>
              <w:spacing w:after="0"/>
              <w:rPr>
                <w:sz w:val="1"/>
                <w:szCs w:val="1"/>
                <w:color w:val="auto"/>
              </w:rPr>
            </w:pPr>
          </w:p>
        </w:tc>
      </w:tr>
      <w:tr>
        <w:trPr>
          <w:trHeight w:val="223"/>
        </w:trPr>
        <w:tc>
          <w:tcPr>
            <w:tcW w:w="82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First Industrial, L.P.'s Partners' Capital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2,747,317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Partners' Capital</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2,768,086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2,755,257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5,270,655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Revenue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719,220</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660,967</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602,294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614,027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165,655</w:t>
            </w: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 Development Services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369,394</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95,650</w:t>
            </w: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0" w:type="dxa"/>
            <w:vAlign w:val="bottom"/>
          </w:tcPr>
          <w:p>
            <w:pPr>
              <w:spacing w:after="0"/>
              <w:rPr>
                <w:sz w:val="1"/>
                <w:szCs w:val="1"/>
                <w:color w:val="auto"/>
              </w:rPr>
            </w:pPr>
          </w:p>
        </w:tc>
      </w:tr>
      <w:tr>
        <w:trPr>
          <w:trHeight w:val="155"/>
        </w:trPr>
        <w:tc>
          <w:tcPr>
            <w:tcW w:w="6700" w:type="dxa"/>
            <w:vAlign w:val="bottom"/>
            <w:shd w:val="clear" w:color="auto" w:fill="CCEEFF"/>
          </w:tcPr>
          <w:p>
            <w:pPr>
              <w:ind w:left="1120"/>
              <w:spacing w:after="0" w:line="156" w:lineRule="exact"/>
              <w:rPr>
                <w:sz w:val="20"/>
                <w:szCs w:val="20"/>
                <w:color w:val="auto"/>
              </w:rPr>
            </w:pPr>
            <w:r>
              <w:rPr>
                <w:rFonts w:ascii="Times New Roman" w:cs="Times New Roman" w:eastAsia="Times New Roman" w:hAnsi="Times New Roman"/>
                <w:sz w:val="18"/>
                <w:szCs w:val="18"/>
                <w:color w:val="auto"/>
              </w:rPr>
              <w:t>Income from Operations Before Equity in Income of Joint Venture and</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of Joint Venture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285,837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the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to Unitholders and Participating Securities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254,917</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295,244</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281,701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Allocable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3"/>
        </w:trPr>
        <w:tc>
          <w:tcPr>
            <w:tcW w:w="6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 Available to Unitholders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254,550</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294,670</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281,150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Unit: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to Unitholders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Unit: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to Unitholders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136,038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135,426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135,249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Mark-to-Market Loss on Derivative Instruments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Derivative Instruments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Derivative Instruments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274,493</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Unitholders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PARTNERS' CAPITAL</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0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2,395,601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2,539,580</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285,837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(11,344)</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Based Compensation Activity</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 Distributions ($1.28 Per Unit)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(173,255)</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Limited Partner Units to General Partner Units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Limited Partner Units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2,505,150</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109,003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7,393</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2,644,388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295,988</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Based Compensation Activity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 Distributions ($1.48 Per Unit)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(201,065)</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Limited Partner Units to General Partner Units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Retirement of Limited Partner Units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6"/>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2,598,962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2,755,257</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264,079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(17,229)</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Based Compensation Activity</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19,132</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 Distributions ($1.78 Per Unit)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(243,177)</w:t>
            </w:r>
          </w:p>
        </w:tc>
        <w:tc>
          <w:tcPr>
            <w:tcW w:w="0" w:type="dxa"/>
            <w:vAlign w:val="bottom"/>
          </w:tcPr>
          <w:p>
            <w:pPr>
              <w:spacing w:after="0"/>
              <w:rPr>
                <w:sz w:val="1"/>
                <w:szCs w:val="1"/>
                <w:color w:val="auto"/>
              </w:rPr>
            </w:pPr>
          </w:p>
        </w:tc>
      </w:tr>
      <w:tr>
        <w:trPr>
          <w:trHeight w:val="19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Limited Partner Units to General Partner Units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0" w:type="dxa"/>
            <w:vAlign w:val="bottom"/>
          </w:tcPr>
          <w:p>
            <w:pPr>
              <w:spacing w:after="0"/>
              <w:rPr>
                <w:sz w:val="1"/>
                <w:szCs w:val="1"/>
                <w:color w:val="auto"/>
              </w:rPr>
            </w:pPr>
          </w:p>
        </w:tc>
      </w:tr>
      <w:tr>
        <w:trPr>
          <w:trHeight w:val="221"/>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2,614,216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2,768,086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00" w:type="dxa"/>
            <w:vAlign w:val="bottom"/>
          </w:tcPr>
          <w:p>
            <w:pPr>
              <w:spacing w:after="0"/>
              <w:rPr>
                <w:sz w:val="13"/>
                <w:szCs w:val="13"/>
                <w:color w:val="auto"/>
              </w:rPr>
            </w:pPr>
          </w:p>
        </w:tc>
        <w:tc>
          <w:tcPr>
            <w:tcW w:w="130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264,079</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295,988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285,837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Depreciation</w:t>
            </w: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139,202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130,427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0" w:type="dxa"/>
            <w:vAlign w:val="bottom"/>
          </w:tcPr>
          <w:p>
            <w:pPr>
              <w:spacing w:after="0"/>
              <w:rPr>
                <w:sz w:val="1"/>
                <w:szCs w:val="1"/>
                <w:color w:val="auto"/>
              </w:rPr>
            </w:pPr>
          </w:p>
        </w:tc>
      </w:tr>
      <w:tr>
        <w:trPr>
          <w:trHeight w:val="195"/>
        </w:trPr>
        <w:tc>
          <w:tcPr>
            <w:tcW w:w="6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Amortization, Including Equity Based Compensation</w:t>
            </w: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Equity in Income of Joint Venture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0" w:type="dxa"/>
            <w:vAlign w:val="bottom"/>
          </w:tcPr>
          <w:p>
            <w:pPr>
              <w:spacing w:after="0"/>
              <w:rPr>
                <w:sz w:val="1"/>
                <w:szCs w:val="1"/>
                <w:color w:val="auto"/>
              </w:rPr>
            </w:pPr>
          </w:p>
        </w:tc>
      </w:tr>
      <w:tr>
        <w:trPr>
          <w:trHeight w:val="195"/>
        </w:trPr>
        <w:tc>
          <w:tcPr>
            <w:tcW w:w="6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Distributions from the Joint Venture</w:t>
            </w: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(95,650)</w:t>
            </w:r>
          </w:p>
        </w:tc>
        <w:tc>
          <w:tcPr>
            <w:tcW w:w="0" w:type="dxa"/>
            <w:vAlign w:val="bottom"/>
          </w:tcPr>
          <w:p>
            <w:pPr>
              <w:spacing w:after="0"/>
              <w:rPr>
                <w:sz w:val="1"/>
                <w:szCs w:val="1"/>
                <w:color w:val="auto"/>
              </w:rPr>
            </w:pPr>
          </w:p>
        </w:tc>
      </w:tr>
      <w:tr>
        <w:trPr>
          <w:trHeight w:val="195"/>
        </w:trPr>
        <w:tc>
          <w:tcPr>
            <w:tcW w:w="6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Payments to Settle Derivative Instruments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Straight-line Rental Income and Expense,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(21,925)</w:t>
            </w:r>
          </w:p>
        </w:tc>
        <w:tc>
          <w:tcPr>
            <w:tcW w:w="0" w:type="dxa"/>
            <w:vAlign w:val="bottom"/>
          </w:tcPr>
          <w:p>
            <w:pPr>
              <w:spacing w:after="0"/>
              <w:rPr>
                <w:sz w:val="1"/>
                <w:szCs w:val="1"/>
                <w:color w:val="auto"/>
              </w:rPr>
            </w:pPr>
          </w:p>
        </w:tc>
      </w:tr>
      <w:tr>
        <w:trPr>
          <w:trHeight w:val="195"/>
        </w:trPr>
        <w:tc>
          <w:tcPr>
            <w:tcW w:w="6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Increase in Tenant Accounts Receivable, Prepaid Expenses and Other Assets, Net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0" w:type="dxa"/>
            <w:vAlign w:val="bottom"/>
          </w:tcPr>
          <w:p>
            <w:pPr>
              <w:spacing w:after="0"/>
              <w:rPr>
                <w:sz w:val="1"/>
                <w:szCs w:val="1"/>
                <w:color w:val="auto"/>
              </w:rPr>
            </w:pPr>
          </w:p>
        </w:tc>
      </w:tr>
      <w:tr>
        <w:trPr>
          <w:trHeight w:val="146"/>
        </w:trPr>
        <w:tc>
          <w:tcPr>
            <w:tcW w:w="6700" w:type="dxa"/>
            <w:vAlign w:val="bottom"/>
            <w:shd w:val="clear" w:color="auto" w:fill="CCEEFF"/>
          </w:tcPr>
          <w:p>
            <w:pPr>
              <w:ind w:left="660"/>
              <w:spacing w:after="0" w:line="147" w:lineRule="exact"/>
              <w:rPr>
                <w:sz w:val="20"/>
                <w:szCs w:val="20"/>
                <w:color w:val="auto"/>
              </w:rPr>
            </w:pPr>
            <w:r>
              <w:rPr>
                <w:rFonts w:ascii="Times New Roman" w:cs="Times New Roman" w:eastAsia="Times New Roman" w:hAnsi="Times New Roman"/>
                <w:sz w:val="14"/>
                <w:szCs w:val="14"/>
                <w:color w:val="auto"/>
              </w:rPr>
              <w:t>Increase (Decrease) in Accounts Payable, Accrued Expenses, Other Liabilities, Rents Received in</w:t>
            </w: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Advance and Security Deposits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461,336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352,542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304,813</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Real Estate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(131,057)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Additions to Investment in Real Estate and Non-Acquisition Tenant Improvements and Lease Costs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(361,927)</w:t>
            </w: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 from Sales of Investments in Real Estate</w:t>
            </w: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158,924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120,411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(Increase) Decrease in Escrow Deposits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Contributions to and Investments in Joint Venture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Distributions from the Joint Venture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69,497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Activity</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4,761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(378,306)</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Financing Issuance Costs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Paid on Vested Equity Compensation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Unit Distributions Paid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(169,368)</w:t>
            </w: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w:t>
            </w: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on Mortgage Loan Payable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Issuance of Senior Unsecured Notes, Net of Underwriter's Discount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443,768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Unsecured Credit Facility</w:t>
            </w: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374,000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on Unsecured Credit Facility</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89,193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(213,084)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(27,781)</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(101,274)</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51,682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43,844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145,118</w:t>
            </w: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78,032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0" w:right="35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00" w:type="dxa"/>
            <w:vAlign w:val="bottom"/>
          </w:tcPr>
          <w:p>
            <w:pPr>
              <w:spacing w:after="0"/>
              <w:rPr>
                <w:sz w:val="13"/>
                <w:szCs w:val="13"/>
                <w:color w:val="auto"/>
              </w:rPr>
            </w:pPr>
          </w:p>
        </w:tc>
        <w:tc>
          <w:tcPr>
            <w:tcW w:w="130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INFORMATION TO STATEMENTS OF CASH FLOWS: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Net of Interest Expense Capitalized</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69,043</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82,871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72,881</w:t>
            </w:r>
          </w:p>
        </w:tc>
        <w:tc>
          <w:tcPr>
            <w:tcW w:w="0" w:type="dxa"/>
            <w:vAlign w:val="bottom"/>
          </w:tcPr>
          <w:p>
            <w:pPr>
              <w:spacing w:after="0"/>
              <w:rPr>
                <w:sz w:val="1"/>
                <w:szCs w:val="1"/>
                <w:color w:val="auto"/>
              </w:rPr>
            </w:pP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Capitalized in Connection with Development Activity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vMerge w:val="continue"/>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3,289</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3,539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0" w:type="dxa"/>
            <w:vAlign w:val="bottom"/>
          </w:tcPr>
          <w:p>
            <w:pPr>
              <w:spacing w:after="0"/>
              <w:rPr>
                <w:sz w:val="1"/>
                <w:szCs w:val="1"/>
                <w:color w:val="auto"/>
              </w:rPr>
            </w:pP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Schedule of Non-Cash Operating Activities: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Limited Partner Unit Distributions Payable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62,656</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51,189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44,201</w:t>
            </w:r>
          </w:p>
        </w:tc>
        <w:tc>
          <w:tcPr>
            <w:tcW w:w="0" w:type="dxa"/>
            <w:vAlign w:val="bottom"/>
          </w:tcPr>
          <w:p>
            <w:pPr>
              <w:spacing w:after="0"/>
              <w:rPr>
                <w:sz w:val="1"/>
                <w:szCs w:val="1"/>
                <w:color w:val="auto"/>
              </w:rPr>
            </w:pP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of Limited Partner Units for General Partner Units: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Limited Partner Units</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Partner Units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169"/>
        </w:trPr>
        <w:tc>
          <w:tcPr>
            <w:tcW w:w="6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Assumption of Liabilities in Connection with the Acquisition of Real Estate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Accounts Payable Related to Construction in Progress and Additions to Investment in Real Estate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70,022</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46,257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55,876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Improvements Funded by Tenant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(52,861)</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(33,909)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(33,529)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0" w:right="359" w:bottom="1440" w:gutter="0" w:footer="0" w:header="0"/>
        </w:sectPr>
      </w:pPr>
    </w:p>
    <w:bookmarkStart w:id="69" w:name="page70"/>
    <w:bookmarkEnd w:id="6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 NOTES TO CONSOLIDATED FINANCIAL STATEMENTS (Dollars in thousands, except per share and Unit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First Industrial Realty Trust, Inc. (the "Company") is a self-administered and fully integrated real estate company which owns, manages, acquires, sells, develops and redevelops industrial real estate. The Company is a Maryland corporation organized on August 10, 1993 and a real estate investment trust ("REIT") as defined in the Internal Revenue Code of 1986 (the "Code"). Unless stated otherwise or the context otherwise requires, the terms "we," "our" and "us" refer to the Company and its subsidiaries, including its operating partnership, First Industrial, L.P. (the "Operating Partnership"), and its consolidated subsidiaries.</w:t>
      </w:r>
    </w:p>
    <w:p>
      <w:pPr>
        <w:spacing w:after="0" w:line="1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began operations on July 1, 1994. The Company's operations are conducted primarily through the Operating Partnership, of which the Company is the sole general partner (the "General Partner"), with an approximate 97.0% and 97.3% ownership interest ("General Partner Units") at December 31, 2025 and 2024, respectively. The Operating Partnership also conducts operations through several other limited partnerships (the "Other Real Estate Partnerships"), numerous limited liability companies ("LLCs") and certain taxable REIT subsidiaries ("TRSs"), the operating data of which, together with that of the Operating Partnership, is consolidated with that of the Company as presented herein. The Operating Partnership holds at least a 99% limited partnership interest in each of the Other Real Estate Partnerships. The general partners of the Other Real Estate Partnerships are separate corporations, wholly-owned by the Company, each with at least a .01% general partnership interest in the Other Real Estate Partnerships. The Company does not have any significant assets or liabilities other than its investment in the Operating Partnership and its 100% ownership interest in the general partners of the Other Real Estate Partnerships. The Company's noncontrolling interest in the Operating Partnership of approximately 3.0% and 2.7% at December 31, 2025 and 2024, respectively, represents the aggregate partnership interest held by the limited partners thereof ("Limited Partner Units" and together with the General Partner Units, the "Units"). The limited partners of the Operating Partnership are persons or entities who contributed their direct or indirect interests in properties to the Operating Partnership in exchange for common Limited Partner Units of the Operating Partnership and/or recipients of RLP Units of the Operating Partnership (see Note 6) pursuant to the Company's stock incentive plan.</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Through a wholly-owned TRS of the Operating Partnership, we own an equity interest in a joint venture (the "Joint Venture") and we provide various services to the Joint Venture. The Joint Venture is accounted for under the equity method of accounting and the operating data of the Joint Venture is not consolidated with that of the Company or the Operating Partnership as presented herein. During the year ended December 31, 2025, the Joint Venture sold its remaining real estate assets. See Note 5 for more information related to the Joint Venture.</w:t>
      </w:r>
    </w:p>
    <w:p>
      <w:pPr>
        <w:spacing w:after="0" w:line="126"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Profits, losses and distributions of the Operating Partnership, the LLCs, the Other Real Estate Partnerships, the TRSs and the Joint Venture are allocated to the general partner and the limited partners, the members or the shareholders, as applicable, of such entities in accordance with the provisions contained within their respective organizational documents.</w:t>
      </w:r>
    </w:p>
    <w:p>
      <w:pPr>
        <w:spacing w:after="0" w:line="122" w:lineRule="exact"/>
        <w:rPr>
          <w:sz w:val="20"/>
          <w:szCs w:val="20"/>
          <w:color w:val="auto"/>
        </w:rPr>
      </w:pPr>
    </w:p>
    <w:p>
      <w:pPr>
        <w:jc w:val="both"/>
        <w:ind w:firstLine="445"/>
        <w:spacing w:after="0" w:line="297" w:lineRule="auto"/>
        <w:rPr>
          <w:sz w:val="20"/>
          <w:szCs w:val="20"/>
          <w:color w:val="auto"/>
        </w:rPr>
      </w:pPr>
      <w:r>
        <w:rPr>
          <w:rFonts w:ascii="Times New Roman" w:cs="Times New Roman" w:eastAsia="Times New Roman" w:hAnsi="Times New Roman"/>
          <w:sz w:val="18"/>
          <w:szCs w:val="18"/>
          <w:color w:val="auto"/>
        </w:rPr>
        <w:t>As of December 31, 2025, we owned 418 industrial properties located in 19 states, containing an aggregate of approximately 70.6 million square feet of gross leasable area ("GLA"). Of the 418 properties owned on a consolidated basis, none of them are directly owned by the Company.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references to the number of industrial properties and square footage in the financial statement footnotes are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at December 31, 2025 and 2024 and for each of the years ended December 31, 2025, 2024 and 2023 include the accounts and operating results of the Company and the Operating Partnership. All intercompany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order to conform with generally accepted accounting principles ("GAAP"), in preparation of our Consolidated Financial Statements we are required to make estimates and assumptions that affect the reported amounts of assets and liabilities and disclosure of contingent assets and liabilities as of December 31, 2025 and 2024, and the reported amounts of revenues and expenses for each of the years ended December 31, 2025, 2024 and 2023.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all cash and liquid investments with an initial maturity of three months or less. The carrying amount approximates fair value due to the short term maturity of these investments. We maintain cash and cash equivalents in banking institutions that may exceed amounts insured by the Federal Deposit Insurance Corporation. We have not realized any losses of such cash investments or accounts and mitigate risk by using nationally recognized banking institutions.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includes cash held in escrow in connection with gross proceeds from the sales of certain industrial properties. These sales proceeds will be reinvested in qualifying replacement properties under Section 1031 of the Code or returned to us upon expiration of the applicable exchange period. The carrying amount approximates fair value due to the short term maturity of these investments. For purposes of our Consolidated Statements of Cash Flows, changes in restricted cash are aggregated with cash and cash equivalents.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Real Estate and Depreciation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Investment in real estate is stated at cost, net of accumulated depreciation and amortization. We review our properties on a quarterly basis for potential impairment and record a provision if impairments are identified. To determine if an impairment may exist, we review our properties and identify those that have had either an event of change or event of circumstances warranting further assessment of recoverability (such as a decrease in occupancy, a decline in general market conditions or a change in the expected hold period of an asset or asset group). The judgments regarding the existence of indicators of impairment are based on the operating performance, market conditions, as well as our ability to hold and our intent with regard to each property. If further assessment of recoverability is needed, we estimate the future net cash flows expected to result from the use of the property and its eventual disposition. Estimated future net cash flows are based on estimates of future operating performance and market conditions. If the sum of the expected future net cash flows (undiscounted and without interest charges) is less than the carrying amount of the property or group of properties, we will recognize an impairment loss equal to the amount in which carrying value exceeds the estimated fair value of the property or group of properties. The assessment of fair value requires the use of estimates and assumptions relating to the timing and amounts of cash flow projections, discount rates and terminal capitalization rates.</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classify properties and related assets and liabilities as held for sale when the sale of an asset has been approved by management, a legally enforceable contract has been executed and the buyer's due diligence period, if any, has expired. Once classified as held for sale, the respective assets and liabilities are presented separately on the Consolidated Balance Sheets. Depreciation ceases and the properties are valued at the lower of depreciated cost or fair value, less costs to dispose.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Interest expense, real estate taxes, compensation costs of development personnel and other costs directly attributable to development projects are capitalized during periods in which activities necessary to prepare the development for its intended use are in progress. Interest is capitalized based on the weighted average borrowing rate during the construction period. Upon substantial completion, construction in progress is reclassified to building and tenant improvements and depreciation is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color w:val="auto"/>
        </w:rPr>
        <w:t>Depreciation expense is computed using the straight-line method based on the following useful lives: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4780" w:type="dxa"/>
            <w:vAlign w:val="bottom"/>
          </w:tcPr>
          <w:p>
            <w:pPr>
              <w:jc w:val="right"/>
              <w:ind w:right="2134"/>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
        </w:trPr>
        <w:tc>
          <w:tcPr>
            <w:tcW w:w="646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to 50</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to 25</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5</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Useful Life or Terms of Related Lease</w:t>
            </w:r>
          </w:p>
        </w:tc>
      </w:tr>
    </w:tbl>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Construction expenditures for tenant improvements, leasehold improvements and leasing commissions (inclusive of incentive compensation costs of personnel directly attributable to executed leases) are capitalized and amortized over the terms of each specific lease. Repairs and maintenance are charged to expense when incurred. Expenditures for improvements are capitalized.</w:t>
      </w:r>
    </w:p>
    <w:p>
      <w:pPr>
        <w:spacing w:after="0" w:line="12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Upon acquisition of a property, we allocate the purchase price of the property based upon the fair value of the assets acquired and liabilities assumed, which generally consists of land, buildings, tenant improvements, construction in progress, leasing commissions and deferred lease intangibles including in-place lease assets and above market and below market lease assets and liabilities. We allocate the purchase price to the fair value of the tangible assets of an acquired property by valuing the property as if it were vacant. The determination of fair value includes the use of significant assumptions such as land comparables, discount rates, terminal capitalization rates and market rent assumptions. Acquired above and below market lease intangibles are valued based on the present value of the difference between prevailing market rental rates and the in-place rental rates measured over a period equal to the remaining term of the lease for above market leases or the remaining term of the lease plus the term of any below market fixed rate renewal options for below market leases. The value of above and below market lease intangibles, which are included as assets or liabilities in the line items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Assets, Net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Accounts Payable, Accrued Expenses and Other Liabilities </w:t>
      </w:r>
      <w:r>
        <w:rPr>
          <w:rFonts w:ascii="Times New Roman" w:cs="Times New Roman" w:eastAsia="Times New Roman" w:hAnsi="Times New Roman"/>
          <w:sz w:val="18"/>
          <w:szCs w:val="18"/>
          <w:color w:val="auto"/>
        </w:rPr>
        <w:t>on the Consolidated Balance Sheets are amortized as an increase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to rental revenue over the remaining initial lease term, plus the term of any below market fixed rate renewal options of the respective leases.</w:t>
      </w:r>
    </w:p>
    <w:p>
      <w:pPr>
        <w:spacing w:after="0" w:line="14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purchase price is further allocated to in-place lease values based on an estimate of the lease revenue received during a reasonable lease-up period as if the property was vacant on the date of acquisition. The value of in-place lease intangibles, which are included in the line item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Assets, Net </w:t>
      </w:r>
      <w:r>
        <w:rPr>
          <w:rFonts w:ascii="Times New Roman" w:cs="Times New Roman" w:eastAsia="Times New Roman" w:hAnsi="Times New Roman"/>
          <w:sz w:val="18"/>
          <w:szCs w:val="18"/>
          <w:color w:val="auto"/>
        </w:rPr>
        <w:t>on the Consolidated Balance Sheets are amortized over the remaining initial lease term (including expected renewal periods)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depreciation and other amortization expense. If a tenant fully terminates its lease early, the unamortized portion of the tenant improvements, leasing commissions, above and below market intangibles and the in-place lease value is immediately accelerated and fully amortized on the date of the termination.</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typical acquisitions consist of properties whereby substantially all the fair value or gross assets acquired is concentrated in a single asset (land, building, construction in progress and in-place leases) and, therefore, are accounted for as asset acquisitions, which permits the capitalization of transaction costs to the basis of the acquired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2" w:name="page73"/>
    <w:bookmarkEnd w:id="72"/>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Deferred leasing intangibles, net of accumulated amortization, included in </w:t>
      </w:r>
      <w:r>
        <w:rPr>
          <w:rFonts w:ascii="Times New Roman" w:cs="Times New Roman" w:eastAsia="Times New Roman" w:hAnsi="Times New Roman"/>
          <w:sz w:val="18"/>
          <w:szCs w:val="18"/>
          <w:i w:val="1"/>
          <w:iCs w:val="1"/>
          <w:color w:val="auto"/>
        </w:rPr>
        <w:t>Prepaid Expenses and Other Assets,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Accounts Payable, 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Liabilities </w:t>
      </w:r>
      <w:r>
        <w:rPr>
          <w:rFonts w:ascii="Times New Roman" w:cs="Times New Roman" w:eastAsia="Times New Roman" w:hAnsi="Times New Roman"/>
          <w:sz w:val="18"/>
          <w:szCs w:val="18"/>
          <w:color w:val="auto"/>
        </w:rPr>
        <w:t>on the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 Market Leases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Market Ground Lease Obligation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Tenant Relationships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156"/>
        </w:trPr>
        <w:tc>
          <w:tcPr>
            <w:tcW w:w="8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 xml:space="preserve">Total Included in </w:t>
            </w:r>
            <w:r>
              <w:rPr>
                <w:rFonts w:ascii="Times New Roman" w:cs="Times New Roman" w:eastAsia="Times New Roman" w:hAnsi="Times New Roman"/>
                <w:sz w:val="18"/>
                <w:szCs w:val="18"/>
                <w:i w:val="1"/>
                <w:iCs w:val="1"/>
                <w:color w:val="auto"/>
              </w:rPr>
              <w:t>Prepaid Expenses and Other Assets, Net</w:t>
            </w:r>
            <w:r>
              <w:rPr>
                <w:rFonts w:ascii="Times New Roman" w:cs="Times New Roman" w:eastAsia="Times New Roman" w:hAnsi="Times New Roman"/>
                <w:sz w:val="18"/>
                <w:szCs w:val="18"/>
                <w:color w:val="auto"/>
              </w:rPr>
              <w:t xml:space="preserve"> is net of $25,751 and $25,188 of Accumulated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156"/>
        </w:trPr>
        <w:tc>
          <w:tcPr>
            <w:tcW w:w="8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 xml:space="preserve">Total Included in </w:t>
            </w:r>
            <w:r>
              <w:rPr>
                <w:rFonts w:ascii="Times New Roman" w:cs="Times New Roman" w:eastAsia="Times New Roman" w:hAnsi="Times New Roman"/>
                <w:sz w:val="18"/>
                <w:szCs w:val="18"/>
                <w:i w:val="1"/>
                <w:iCs w:val="1"/>
                <w:color w:val="auto"/>
              </w:rPr>
              <w:t>Accounts Payable, Accrued Expenses and Other Liabilities</w:t>
            </w:r>
            <w:r>
              <w:rPr>
                <w:rFonts w:ascii="Times New Roman" w:cs="Times New Roman" w:eastAsia="Times New Roman" w:hAnsi="Times New Roman"/>
                <w:sz w:val="18"/>
                <w:szCs w:val="18"/>
                <w:color w:val="auto"/>
              </w:rPr>
              <w:t xml:space="preserve"> is net of $18,821 and $17,632 of</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Amortization expense related to in-place leases and tenant relationships was $5,975, $5,419 and $6,735 for the years ended December 31, 2025, 2024 and 2023, respectively. For the years ended December 31, 2025, 2024 and 2023, lease revenue increased by $2,698, $3,482 and $4,430, respectively, related to net amortization of above and below market leases. We will recognize net amortization expense related to deferred leasing intangibles over the next five years for properties owned as of December 31, 2025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4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Net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Increase to</w:t>
            </w:r>
          </w:p>
        </w:tc>
        <w:tc>
          <w:tcPr>
            <w:tcW w:w="0" w:type="dxa"/>
            <w:vAlign w:val="bottom"/>
          </w:tcPr>
          <w:p>
            <w:pPr>
              <w:spacing w:after="0"/>
              <w:rPr>
                <w:sz w:val="1"/>
                <w:szCs w:val="1"/>
                <w:color w:val="auto"/>
              </w:rPr>
            </w:pPr>
          </w:p>
        </w:tc>
      </w:tr>
      <w:tr>
        <w:trPr>
          <w:trHeight w:val="146"/>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140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Rental Revenues</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In-Place</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0" w:type="dxa"/>
            <w:vAlign w:val="bottom"/>
          </w:tcPr>
          <w:p>
            <w:pPr>
              <w:spacing w:after="0"/>
              <w:rPr>
                <w:sz w:val="1"/>
                <w:szCs w:val="1"/>
                <w:color w:val="auto"/>
              </w:rPr>
            </w:pPr>
          </w:p>
        </w:tc>
      </w:tr>
      <w:tr>
        <w:trPr>
          <w:trHeight w:val="137"/>
        </w:trPr>
        <w:tc>
          <w:tcPr>
            <w:tcW w:w="7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Leases and Tenant</w:t>
            </w:r>
          </w:p>
        </w:tc>
        <w:tc>
          <w:tcPr>
            <w:tcW w:w="200" w:type="dxa"/>
            <w:vAlign w:val="bottom"/>
          </w:tcPr>
          <w:p>
            <w:pPr>
              <w:spacing w:after="0"/>
              <w:rPr>
                <w:sz w:val="11"/>
                <w:szCs w:val="11"/>
                <w:color w:val="auto"/>
              </w:rPr>
            </w:pPr>
          </w:p>
        </w:tc>
        <w:tc>
          <w:tcPr>
            <w:tcW w:w="1400" w:type="dxa"/>
            <w:vAlign w:val="bottom"/>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Above and Below</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6"/>
                <w:szCs w:val="16"/>
                <w:color w:val="auto"/>
              </w:rPr>
            </w:pPr>
          </w:p>
        </w:tc>
        <w:tc>
          <w:tcPr>
            <w:tcW w:w="14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 Leases</w:t>
            </w:r>
          </w:p>
        </w:tc>
        <w:tc>
          <w:tcPr>
            <w:tcW w:w="0" w:type="dxa"/>
            <w:vAlign w:val="bottom"/>
          </w:tcPr>
          <w:p>
            <w:pPr>
              <w:spacing w:after="0"/>
              <w:rPr>
                <w:sz w:val="1"/>
                <w:szCs w:val="1"/>
                <w:color w:val="auto"/>
              </w:rPr>
            </w:pPr>
          </w:p>
        </w:tc>
      </w:tr>
      <w:tr>
        <w:trPr>
          <w:trHeight w:val="228"/>
        </w:trPr>
        <w:tc>
          <w:tcPr>
            <w:tcW w:w="7900" w:type="dxa"/>
            <w:vAlign w:val="bottom"/>
            <w:tcBorders>
              <w:top w:val="single" w:sz="8" w:color="CCEEFF"/>
            </w:tcBorders>
            <w:shd w:val="clear" w:color="auto" w:fill="CCEEFF"/>
          </w:tcPr>
          <w:p>
            <w:pPr>
              <w:jc w:val="right"/>
              <w:ind w:right="7430"/>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29"/>
        </w:trPr>
        <w:tc>
          <w:tcPr>
            <w:tcW w:w="7900" w:type="dxa"/>
            <w:vAlign w:val="bottom"/>
          </w:tcPr>
          <w:p>
            <w:pPr>
              <w:jc w:val="right"/>
              <w:ind w:right="7430"/>
              <w:spacing w:after="0"/>
              <w:rPr>
                <w:sz w:val="20"/>
                <w:szCs w:val="20"/>
                <w:color w:val="auto"/>
              </w:rPr>
            </w:pPr>
            <w:r>
              <w:rPr>
                <w:rFonts w:ascii="Times New Roman" w:cs="Times New Roman" w:eastAsia="Times New Roman" w:hAnsi="Times New Roman"/>
                <w:sz w:val="18"/>
                <w:szCs w:val="18"/>
                <w:color w:val="auto"/>
                <w:w w:val="99"/>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jc w:val="right"/>
              <w:ind w:right="7430"/>
              <w:spacing w:after="0"/>
              <w:rPr>
                <w:sz w:val="20"/>
                <w:szCs w:val="20"/>
                <w:color w:val="auto"/>
              </w:rPr>
            </w:pPr>
            <w:r>
              <w:rPr>
                <w:rFonts w:ascii="Times New Roman" w:cs="Times New Roman" w:eastAsia="Times New Roman" w:hAnsi="Times New Roman"/>
                <w:sz w:val="18"/>
                <w:szCs w:val="18"/>
                <w:color w:val="auto"/>
                <w:w w:val="99"/>
              </w:rPr>
              <w:t>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7900" w:type="dxa"/>
            <w:vAlign w:val="bottom"/>
          </w:tcPr>
          <w:p>
            <w:pPr>
              <w:jc w:val="right"/>
              <w:ind w:right="7430"/>
              <w:spacing w:after="0"/>
              <w:rPr>
                <w:sz w:val="20"/>
                <w:szCs w:val="20"/>
                <w:color w:val="auto"/>
              </w:rPr>
            </w:pPr>
            <w:r>
              <w:rPr>
                <w:rFonts w:ascii="Times New Roman" w:cs="Times New Roman" w:eastAsia="Times New Roman" w:hAnsi="Times New Roman"/>
                <w:sz w:val="18"/>
                <w:szCs w:val="18"/>
                <w:color w:val="auto"/>
                <w:w w:val="99"/>
              </w:rPr>
              <w:t>2029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jc w:val="right"/>
              <w:ind w:right="7430"/>
              <w:spacing w:after="0"/>
              <w:rPr>
                <w:sz w:val="20"/>
                <w:szCs w:val="20"/>
                <w:color w:val="auto"/>
              </w:rPr>
            </w:pPr>
            <w:r>
              <w:rPr>
                <w:rFonts w:ascii="Times New Roman" w:cs="Times New Roman" w:eastAsia="Times New Roman" w:hAnsi="Times New Roman"/>
                <w:sz w:val="18"/>
                <w:szCs w:val="18"/>
                <w:color w:val="auto"/>
                <w:w w:val="99"/>
              </w:rPr>
              <w:t>2030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Debt issuance costs, which include fees and costs incurred to obtain long-term financing, are amortized over the terms of the respective loans. Unamortized debt issuance costs are written-off when debt is retired before the maturity date. Debt issuance costs are presented as a direct deduction from the carrying amount of the respective debt liability, consistent with the treatment of debt discounts, except for the debt issuance costs related to the unsecured credit facility which are included in the line item </w:t>
      </w:r>
      <w:r>
        <w:rPr>
          <w:rFonts w:ascii="Times New Roman" w:cs="Times New Roman" w:eastAsia="Times New Roman" w:hAnsi="Times New Roman"/>
          <w:sz w:val="18"/>
          <w:szCs w:val="18"/>
          <w:i w:val="1"/>
          <w:iCs w:val="1"/>
          <w:color w:val="auto"/>
        </w:rPr>
        <w:t>Prepaid Expenses and Other Assets, Net</w:t>
      </w:r>
      <w:r>
        <w:rPr>
          <w:rFonts w:ascii="Times New Roman" w:cs="Times New Roman" w:eastAsia="Times New Roman" w:hAnsi="Times New Roman"/>
          <w:sz w:val="18"/>
          <w:szCs w:val="18"/>
          <w:color w:val="auto"/>
        </w:rPr>
        <w:t xml:space="preserve">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Joint Venture</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Investment in joint venture represents a noncontrolling equity interest in a joint venture arrangement. We have determined to account for our investment in the Joint Venture under the equity method of accounting, as we do not have a majority voting interest, operational control or financial control. Control is determined using accounting standards related to the consolidation of joint ventures and variable interest entities ("VIEs"). Under the equity method of accounting, our share of earnings or losses of the Joint Venture is reflected in income as earned and contributions or distributions increase or decrease our investment in the Joint Venture as paid or received, respectively. Differences between our carrying value of our investment in the Joint Venture and our underlying equity are amortized and included as an adjustment to our equity in income (loss) or recognized, either in whole or in part, during the period that real estate assets are sold from the Joint Venture.</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account for our interests in the Joint Venture using the hypothetical liquidation at book value model. Under this method, we record our Equity in Income (Loss) of the Joint Venture based on our proportionate share of the Joint Venture's earnings based on our ownership interest, after giving effect to incentive fees which we are entitled to receive.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73" w:name="page74"/>
    <w:bookmarkEnd w:id="73"/>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classify distributions received from the Joint Venture using the cumulative earnings approach. In general, distributions received are considered returns on the investment and classified as cash inflows from operating activities. If, however, our cumulative distributions received, less distributions received in prior periods determined to be returns of investment, exceed cumulative equity in earnings recognized, the excess is considered a return of investment and is classified as cash inflows from investing activities.</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 periodic basis, management assesses whether there are any indicators that the value of our investments in joint venture arrangements may be impaired. An investment is impaired only if our estimate of the fair value of the investment is less than the carrying value of the investment, and such decline in value is deemed to be other than temporary. To the extent an impairment has occurred, the loss shall be measured as the excess of the investment's carrying value over its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Limited Partner Units are reported within Partners' Capital in the Operating Partnership's balance sheet as of December 31, 2025 and 2024 because they are not redeemable for cash or other assets (a) at a fixed or determinable date, (b) at the option of the Unitholder or (c) upon the occurrence of an event that is not solely within the control of the Operating Partnership. Redemption can be effectuated, as determined by the General Partner, either by exchanging the Units for shares of common stock of the Company on a one-for-one basis, subject to adjustment, or by paying cash equal to the fair market value of such shares.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Operating Partnership is the only significant asset of the Company and economic, fiduciary and contractual means align the interests of the Company and the Operating Partnership. The Company's Board of Directors and officers of the Company direct the Company to act when acting in its capacity as sole general partner of the Operating Partnership. Because of this, the Operating Partnership is deemed to have effective control of the form of redemption consideration. As of December 31, 2025, all criteria were met for the Operating Partnership to control the actions or events necessary to issue the maximum number of the Company's common shares required to be delivered upon redemption of all remaining Limited Partner Units.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 a wholly-owned TRS of the Operating Partnership, we own a 43% interest in the Joint Venture that is accounted for under the equity method of accounting. Our ownership interest in the Joint Venture is held through a partnership with a third party ("Joint Venture Partnership"). We concluded that we hold the power to direct the activities that most significantly impact the economic performance of the Joint Venture Partnership. As a result, we consolidate the Joint Venture Partnership, which holds an aggregate 49% interest in the Joint Venture and reflect the third-party's interest as Noncontrolling Interests within the financial statements of the Company and Operating Partnership. See Note 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over the period during which an employee is required to provide service in exchange for the award, generally the vesting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lease our properties to tenants under agreements that are classified as leases. We recognize, as rental income, the total minimum lease payments under the leases on a straight-line basis over the lease term. Generally, under the terms of our leases, the majority of property operating expenses, including real estate taxes, insurance, and other property operating expenses are recovered from our tenants and recognized as tenant recovery revenue in the same period we incur the related expenses. As the timing and straight-line pattern of transfer to the lessee for rental revenue and the associated rental recoveries are the same and our leases qualify as operating leases, we account for the present rental revenue and tenant recovery revenue as a single component under </w:t>
      </w:r>
      <w:r>
        <w:rPr>
          <w:rFonts w:ascii="Times New Roman" w:cs="Times New Roman" w:eastAsia="Times New Roman" w:hAnsi="Times New Roman"/>
          <w:sz w:val="18"/>
          <w:szCs w:val="18"/>
          <w:i w:val="1"/>
          <w:iCs w:val="1"/>
          <w:color w:val="auto"/>
        </w:rPr>
        <w:t>Lease Revenue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assess the collectibility of lease receivables (including future minimum rental payments) at commencement and throughout the lease term. If we conclude that collection of lease payments is not probable at lease commencement, we will recognize lease payments only as they are received. If collection of lease payments is concluded to be probable at commencement and our assessment of collectibility changes during the lease term, any difference between the revenue that would have been received under the straight-line method and the lease payments that have been collected will be recognized as a current period adjustment to </w:t>
      </w:r>
      <w:r>
        <w:rPr>
          <w:rFonts w:ascii="Times New Roman" w:cs="Times New Roman" w:eastAsia="Times New Roman" w:hAnsi="Times New Roman"/>
          <w:sz w:val="18"/>
          <w:szCs w:val="18"/>
          <w:i w:val="1"/>
          <w:iCs w:val="1"/>
          <w:color w:val="auto"/>
        </w:rPr>
        <w:t>Lease Revenue</w:t>
      </w:r>
      <w:r>
        <w:rPr>
          <w:rFonts w:ascii="Times New Roman" w:cs="Times New Roman" w:eastAsia="Times New Roman" w:hAnsi="Times New Roman"/>
          <w:sz w:val="18"/>
          <w:szCs w:val="18"/>
          <w:color w:val="auto"/>
        </w:rPr>
        <w:t xml:space="preserve"> and revenue will subsequently be accounted for on a cash basis until such time that collection of future rent is deemed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4" w:name="page75"/>
    <w:bookmarkEnd w:id="74"/>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a lease provides for tenant improvements, we determine whether we or the tenant is the owner of the tenant improvements. When we are the owner of the tenant improvements, any tenant improvements funded by the tenant are treated as lease payments which are deferred and amortized as revenue over the lease term. When the tenant is the owner of the tenant improvements, we record any tenant improvement allowance paid to tenant as a lease inducement and amortize it as a reduction of revenue over the lease term.</w:t>
      </w:r>
    </w:p>
    <w:p>
      <w:pPr>
        <w:spacing w:after="0" w:line="12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recognize fees received from tenants to fully terminate their lease prior to the contractual end date on a straight-line basis from the notification date through the revised lease end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Expenses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Property expenses include real estate taxes, utilities, repairs and maintenance, property insurance as well as the cost of our property management personnel and other costs of managing our properties. Several of our leases require tenants to pay real estate taxes directly to taxing authorities. We exclude from property expenses certain lessor costs, such as real estate taxes, that we contractually require tenants to pay directly to a third party on our behalf. The amounts paid directly to third parties by tenants for lessor costs are also excluded from lease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Accounting</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a lessee on a limited number of ground and office leases. We elected the practical expedient to combine our lease and related nonlease components for our lessee building leases. Right of Use ("ROU") assets represent our right to use an underlying asset for the lease term and lease liabilities represent our obligation to make lease payments arising from the lease. ROU assets and lease liabilities are recognized on the Consolidated Balance Sheets at the commencement date based on the present value of lease payments over the lease term. Our variable lease payments consist of nonlease services related to the lease. Variable lease payments are excluded from the ROU assets and lease liabilities and are recognized in the period in which the obligation for those payments is incurred. As most of our leases do not provide an implicit rate, we use information available at lease commencement to estimate an appropriate incremental borrowing rate on a fully-collateralized basis to determine the present value of lease payments. Many of our lessee agreements include options to extend the lease, which we do not include in our lease terms unless they are reasonably certain to be exercised. Rental expense for lease payments related to operating leases is recognized on a straight-line basis over the lease term.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Real Estate</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Asset sales are generally recognized when control of the asset being sold is transferred to the buyer. As the assets are sold, their costs and related accumulated depreciation, if any, are derecognized with resulting gains or losses reflected in net income.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When our tenants' leases contain purchase options, we assess the probability that the tenant will execute the purchase option both at lease commencement or at the time the tenant communicates their intent to execute the purchase option. If we determine the execution of the purchase option is reasonably certain, we will account for the lease as a sales-type lease and derecognize the associated real estate assets on our balance sheet and record a gain or loss on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REIT under the Code. To maintain its qualification as a REIT, the Company must satisfy certain organizational and operational requirements, including the requirement to distribute annually at least 90% of its REIT taxable income, determined without regard to its dividend paid deduction, to its stockholders. Management intends to continue to operate in a manner that will allow the Company to maintain its REIT status.</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a REIT, the Company is generally not subject to federal income taxes to the extent that it distributes to shareholders an amount equal to or in excess of the Company's taxable income, and therefore is entitled to a dividends paid deduction for qualifying distributions. If the Company fails to qualify as a REIT in any taxable year, it would become subject to federal income taxes at regular corporate rates and generally would be prohibited from re-electing REIT status for the four taxable years following such disqualification.</w:t>
      </w:r>
    </w:p>
    <w:p>
      <w:pPr>
        <w:spacing w:after="0" w:line="126"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REIT qualification reduces, but does not eliminate, the amount of state and local taxes we pay. In addition, certain activities that we undertake may be conducted by entities which have elected to be treated as a TRS, which are subject to federal, state and local income taxes. A benefit or provision has been made for federal, state and local income taxes in the accompanying Consolidated Financial Statements.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Company's Operating Partnership is treated as a partnership for federal and most state income tax purposes. As such, taxable income or loss is passed through to, and reported by, each of the partners in accordance with their ownership interests.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and Earnings Per Unit ("EPS" and "EPU")</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use the two-class method of computing earnings per common share or Unit, which is an earnings allocation formula that determines earnings per share for common stock and any participating securities according to dividends declared (whether paid or unpaid) and participation rights in undistributed earnings. Basic net income per common share or Unit is computed by dividing net income available to common stockholders or Unitholders by the weighted average number of common shares or Units outstanding for the period. Diluted net income per common share or Unit is computed by dividing net income available to common stockholders or Unitholders by the sum of the weighted average number of common shares or Units outstanding and any dilutive non-participating securities for the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have used derivative instruments to manage interest rate risk on anticipated offerings of long-term debt. Receipts or payments resulting from the settlement of derivative instruments used to fix the interest rate on anticipated offerings of senior unsecured notes are amortized over the life of the derivative or the life of the debt and are included in interest expense. Receipts or payments resulting from derivative instruments used to convert floating-rate debt to fixed-rate debt are also recognized as a component of interest expense.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To qualify for hedge accounting, derivative instruments used for risk management purposes must effectively reduce the risk exposure that they are designed to hedge. In addition, at the inception of a qualifying cash flow hedging relationship, the underlying transaction or transactions, must be, and are expected to remain, probable of occurring consistent with our related assertions. We recognize all derivative instruments at fair value in the line items </w:t>
      </w:r>
      <w:r>
        <w:rPr>
          <w:rFonts w:ascii="Times New Roman" w:cs="Times New Roman" w:eastAsia="Times New Roman" w:hAnsi="Times New Roman"/>
          <w:sz w:val="18"/>
          <w:szCs w:val="18"/>
          <w:i w:val="1"/>
          <w:iCs w:val="1"/>
          <w:color w:val="auto"/>
        </w:rPr>
        <w:t xml:space="preserve">Prepaid Expenses and Other Assets, Net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Accounts Payable, Accrued Expenses and Other Liabilities </w:t>
      </w:r>
      <w:r>
        <w:rPr>
          <w:rFonts w:ascii="Times New Roman" w:cs="Times New Roman" w:eastAsia="Times New Roman" w:hAnsi="Times New Roman"/>
          <w:sz w:val="18"/>
          <w:szCs w:val="18"/>
          <w:color w:val="auto"/>
        </w:rPr>
        <w:t>on the Consolidated Balance Sheets.</w:t>
      </w:r>
    </w:p>
    <w:p>
      <w:pPr>
        <w:spacing w:after="0" w:line="12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Changes in fair value of derivative instruments that are not designated in hedging relationships or that do not meet the criteria of hedge accounting are recognized in earnings. For derivative instruments designated in qualifying cash flow hedging relationships, changes in fair value related to the effective portion of the derivative instruments are recognized in the line item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the Consolidated Balance Sheets, whereas changes in fair value of the ineffective portion are recognized in earnings. If a derivative instrument ceases to be highly effective as a hedge, or if it becomes probable the underlying forecasted transaction will not occur, we discontinue cash flow hedge accounting prospectively and record the appropriate adjustment to earnings based on the current fair value of the derivative instrument.</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credit risks associated with derivative instruments are managed through the evaluation and ongoing monitoring of the creditworthiness of the counterparties. In the event that a counterparty fails to meet the terms of a derivative instrument, our exposure is limited to the fair value of the instrument, not its notional amount.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GAAP establishes a framework for measuring fair value and requires disclosures about fair value measurements. Fair value is defined as the price that would be received to sell an asset or paid to transfer a liability (an exit price) in an orderly transaction between market participants. The guidance establishes a hierarchy for inputs used in measuring fair value based on observable and unobservable inputs by requiring that the most observable inputs be used when available. Observable inputs are based on market data obtained from independent sources. Unobservable inputs are inputs that reflect our assumptions of pricing the asset or liability based on the best information available in the circumstances. We estimate fair value using available market information and valuation methodologies we believe to be appropriate for these purposes. The fair value hierarchy consists of the following three broad levels:</w:t>
      </w:r>
    </w:p>
    <w:p>
      <w:pPr>
        <w:spacing w:after="0" w:line="13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that the entity can access at the measurement date;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within Level 1 that are either directly or indirectly observable for the asset or liability;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for the asset or liability.</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assets and liabilities that are measured at fair value are classified in their entirety based on the lowest level of input that is significant to their fair value measurement. Considerable judgment and a high degree of subjectivity are involved in developing these estimates and, accordingly, they are not necessarily indicative of amounts that we would realize on disposition.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Management views the Company as operating within a single business segment. Our primary activities include acquiring, developing, leasing and managing industrial properties across various geographic markets within the United States. We manage our operations on a consolidated basis to assess performance and make strategic operating decisions. Although we have target markets, we do not operate individual markets independently from our overall portfolio nor do we distinguish our business or group our operations on a geographical basis for purposes of assessing overall performance. Our Chief Executive Officer serves as the Chief Operating Decision Maker ("CODM").</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CODM uses consolidated net income as the primary measure to assess overall company performance and to allocate resources. Consolidated net income is presented in our Consolidated Financial Statements and provides a comprehensive view of the Company's financial performance, including both property and non-property financial results. The CODM reviews significant expenses associated with the Company's single operating segment, including property-related and corporate-level costs, which are presented in the Consolidated Statements of Operations.</w:t>
      </w:r>
    </w:p>
    <w:p>
      <w:pPr>
        <w:spacing w:after="0" w:line="12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do not report asset information for our single segment as it is not utilized by our CODM for assessing performance or allocating resources. Asset values for our properties are reported in our Consolidated Balance Sheets at historical cost which may not reflect current market value.</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property portfolio is well diversified across a broad range of tenants and industries. No single tenant or property accounted for more than 10% of our total revenue for the years ended December 31, 2025,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("ASU 2023-09"). ASU 2023-09 requires enhanced income tax disclosures, including further disaggregation of federal and state income taxes paid by jurisdiction. ASU 2023-09 is effective for the year ended December 31, 2025. We adopted ASU 2023-09 for the year ended December 31, 2025. The adoption did not have a material impact on our Consolidated Financial Statements. The additional required disclosures related to ASU 2023-09 are included in Note 9.</w:t>
      </w:r>
    </w:p>
    <w:p>
      <w:pPr>
        <w:spacing w:after="0" w:line="1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ASU 2024-03 requires enhanced disclosures regarding income statement expenses, including disaggregation of significant categories such as depreciation and amortization of real estate assets, property operating expenses and employee compensation, within relevant expense captions presented in the income statement. ASU 2024-03 is effective for annual periods beginning after December 15, 2026. We are currently evaluating ASU 2024-03 to determine its impact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3. Investment in Real Estate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acquisition of industrial properties and land parcels for the years ended December 31, 2025, 2024 and 2023. We accounted for the properties and land parcels as asset acquisitions and capitalized transaction costs to the basis of the acquired assets. The revenue and net income associated with the acquisition of the industrial properties, since their respective acquisition dates, are not significant for years ended December 31, 2025, 2024 or 2023.</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Industrial Properties Acquired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GLA (in millions)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of Industrial Properties Acquired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43,950</w:t>
            </w:r>
          </w:p>
        </w:tc>
      </w:tr>
      <w:tr>
        <w:trPr>
          <w:trHeight w:val="229"/>
        </w:trPr>
        <w:tc>
          <w:tcPr>
            <w:tcW w:w="73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Purchase Price of Income Producing Land Parcels Acquired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Purchase Price of Land Parcels Acquired </w:t>
            </w:r>
            <w:r>
              <w:rPr>
                <w:rFonts w:ascii="Times New Roman" w:cs="Times New Roman" w:eastAsia="Times New Roman" w:hAnsi="Times New Roman"/>
                <w:sz w:val="23"/>
                <w:szCs w:val="23"/>
                <w:color w:val="auto"/>
                <w:vertAlign w:val="superscript"/>
              </w:rPr>
              <w:t>(B)</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80,554</w:t>
            </w:r>
          </w:p>
        </w:tc>
      </w:tr>
      <w:tr>
        <w:trPr>
          <w:trHeight w:val="223"/>
        </w:trPr>
        <w:tc>
          <w:tcPr>
            <w:tcW w:w="736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 xml:space="preserve">Total Purchase Price </w:t>
            </w:r>
            <w:r>
              <w:rPr>
                <w:rFonts w:ascii="Times New Roman" w:cs="Times New Roman" w:eastAsia="Times New Roman" w:hAnsi="Times New Roman"/>
                <w:sz w:val="23"/>
                <w:szCs w:val="23"/>
                <w:color w:val="auto"/>
                <w:vertAlign w:val="superscript"/>
              </w:rPr>
              <w:t>(C)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124,504</w:t>
            </w: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includes $116 and $893 allocated to building and improvements and in-place leases, respectively.</w:t>
      </w:r>
    </w:p>
    <w:p>
      <w:pPr>
        <w:spacing w:after="0" w:line="68" w:lineRule="exact"/>
        <w:rPr>
          <w:rFonts w:ascii="Times New Roman" w:cs="Times New Roman" w:eastAsia="Times New Roman" w:hAnsi="Times New Roman"/>
          <w:sz w:val="22"/>
          <w:szCs w:val="22"/>
          <w:color w:val="auto"/>
          <w:vertAlign w:val="superscript"/>
        </w:rPr>
      </w:pPr>
    </w:p>
    <w:p>
      <w:pPr>
        <w:ind w:left="200" w:hanging="192"/>
        <w:spacing w:after="0" w:line="213" w:lineRule="auto"/>
        <w:tabs>
          <w:tab w:leader="none" w:pos="2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2023, includes $1,334 and $763 allocated to above market leases and in-place leases, respectively.</w:t>
      </w:r>
    </w:p>
    <w:p>
      <w:pPr>
        <w:spacing w:after="0" w:line="69" w:lineRule="exact"/>
        <w:rPr>
          <w:rFonts w:ascii="Times New Roman" w:cs="Times New Roman" w:eastAsia="Times New Roman" w:hAnsi="Times New Roman"/>
          <w:sz w:val="21"/>
          <w:szCs w:val="21"/>
          <w:color w:val="auto"/>
          <w:vertAlign w:val="superscript"/>
        </w:rPr>
      </w:pPr>
    </w:p>
    <w:p>
      <w:pPr>
        <w:jc w:val="both"/>
        <w:ind w:firstLine="8"/>
        <w:spacing w:after="0" w:line="228" w:lineRule="auto"/>
        <w:tabs>
          <w:tab w:leader="none" w:pos="224"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 price excludes closing costs. Additionally, for the year ended December 31, 2025, three industrial buildings were acquired from the Joint Venture. As such, the purchase price was reduced by our proportionate share of the Joint Venture's gain on sale and incentive fees totaling $40,583 See Note 5.</w:t>
      </w:r>
    </w:p>
    <w:p>
      <w:pPr>
        <w:spacing w:after="0" w:line="14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amounts recognized for each major class of asset and liability for the industrial properties and land parcels acquired during the years ended December 31, 2025 and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Improvements/Construction in Progress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Market Leases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property and land dispositions for the years ended December 31, 2025,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Industrial Properties Sold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GLA (in millions)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Proceeds from the Sale of Real Estate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125,293</w:t>
            </w:r>
          </w:p>
        </w:tc>
      </w:tr>
      <w:tr>
        <w:trPr>
          <w:trHeight w:val="30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Gain on Sale of Real Estate </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111,970</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95,650</w:t>
            </w:r>
          </w:p>
        </w:tc>
      </w:tr>
    </w:tbl>
    <w:p>
      <w:pPr>
        <w:spacing w:after="0" w:line="148" w:lineRule="exact"/>
        <w:rPr>
          <w:sz w:val="20"/>
          <w:szCs w:val="20"/>
          <w:color w:val="auto"/>
        </w:rPr>
      </w:pPr>
    </w:p>
    <w:p>
      <w:pPr>
        <w:ind w:firstLine="8"/>
        <w:spacing w:after="0" w:line="272" w:lineRule="auto"/>
        <w:tabs>
          <w:tab w:leader="none" w:pos="207"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Gross proceeds and gain on sale of real estate include the sale of one land parcel for the year ended December 31, 2025 and two land parcels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4. Indebtedness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discloses certain information regarding our indebtedness: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Outstanding Balance at</w:t>
            </w:r>
          </w:p>
        </w:tc>
        <w:tc>
          <w:tcPr>
            <w:tcW w:w="10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Rate at</w:t>
            </w:r>
          </w:p>
        </w:tc>
        <w:tc>
          <w:tcPr>
            <w:tcW w:w="160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Rate at</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28"/>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Mortgage Loan Payable</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8/1/2028</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 Gross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7.15%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7.11%</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5/15/2027</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7.60%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7/15/2028</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5.25%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1/15/2031</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7.75%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4/15/2032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Placement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4.30%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4/20/2027</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Placement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3.86%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2/15/2028</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Placement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4.40%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4/20/2029</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II Private Placement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7/23/2029</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Placement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3.96%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2/15/2030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II Private Placement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9/17/2030</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Private Placement Notes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0" w:type="dxa"/>
            <w:vAlign w:val="bottom"/>
            <w:tcBorders>
              <w:bottom w:val="single" w:sz="8" w:color="CCEEFF"/>
            </w:tcBorders>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2.84%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9/17/2032</w:t>
            </w: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998,571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Unamortized Debt Issuance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Unamortized Discounts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 Net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1,438,607</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995,184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Unsecured Term Loans, Gross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Unsecured Term Loan</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32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Unsecured Term Loan II </w:t>
            </w:r>
            <w:r>
              <w:rPr>
                <w:rFonts w:ascii="Times New Roman" w:cs="Times New Roman" w:eastAsia="Times New Roman" w:hAnsi="Times New Roman"/>
                <w:sz w:val="23"/>
                <w:szCs w:val="23"/>
                <w:b w:val="1"/>
                <w:bCs w:val="1"/>
                <w:color w:val="auto"/>
                <w:vertAlign w:val="superscript"/>
              </w:rPr>
              <w:t>(A)(B)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4.42%</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8/12/2026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32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Unsecured Term Loan </w:t>
            </w:r>
            <w:r>
              <w:rPr>
                <w:rFonts w:ascii="Times New Roman" w:cs="Times New Roman" w:eastAsia="Times New Roman" w:hAnsi="Times New Roman"/>
                <w:sz w:val="23"/>
                <w:szCs w:val="23"/>
                <w:b w:val="1"/>
                <w:bCs w:val="1"/>
                <w:color w:val="auto"/>
                <w:vertAlign w:val="superscript"/>
              </w:rPr>
              <w:t>(A)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6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3.64%</w:t>
            </w:r>
          </w:p>
        </w:tc>
        <w:tc>
          <w:tcPr>
            <w:tcW w:w="10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10/18/2027</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Unsecured Term Loan </w:t>
            </w:r>
            <w:r>
              <w:rPr>
                <w:rFonts w:ascii="Times New Roman" w:cs="Times New Roman" w:eastAsia="Times New Roman" w:hAnsi="Times New Roman"/>
                <w:sz w:val="23"/>
                <w:szCs w:val="23"/>
                <w:b w:val="1"/>
                <w:bCs w:val="1"/>
                <w:color w:val="auto"/>
                <w:vertAlign w:val="superscript"/>
              </w:rPr>
              <w:t>(A)(C)</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1.83%</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3/17/2028</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Unsecured Term Loans, Net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922,494</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922,476</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Unsecured Credit Facility </w:t>
            </w:r>
            <w:r>
              <w:rPr>
                <w:rFonts w:ascii="Times New Roman" w:cs="Times New Roman" w:eastAsia="Times New Roman" w:hAnsi="Times New Roman"/>
                <w:sz w:val="23"/>
                <w:szCs w:val="23"/>
                <w:b w:val="1"/>
                <w:bCs w:val="1"/>
                <w:color w:val="auto"/>
                <w:vertAlign w:val="superscript"/>
              </w:rPr>
              <w:t>(D)</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160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3/16/2029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8"/>
        <w:spacing w:after="0" w:line="242" w:lineRule="auto"/>
        <w:tabs>
          <w:tab w:leader="none" w:pos="22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interest rate at December 31, 2025 includes the impact of derivative instruments which effectively convert the variable rate of the debt to a fixed rate. See Note 12.</w:t>
      </w:r>
    </w:p>
    <w:p>
      <w:pPr>
        <w:spacing w:after="0" w:line="141" w:lineRule="exact"/>
        <w:rPr>
          <w:rFonts w:ascii="Times New Roman" w:cs="Times New Roman" w:eastAsia="Times New Roman" w:hAnsi="Times New Roman"/>
          <w:sz w:val="22"/>
          <w:szCs w:val="22"/>
          <w:color w:val="auto"/>
          <w:vertAlign w:val="superscript"/>
        </w:rPr>
      </w:pPr>
    </w:p>
    <w:p>
      <w:pPr>
        <w:jc w:val="both"/>
        <w:ind w:firstLine="8"/>
        <w:spacing w:after="0" w:line="235" w:lineRule="auto"/>
        <w:tabs>
          <w:tab w:leader="none" w:pos="219"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2025, we consummated our exercise of the first one-year extension option, which extends the maturity date to August 12, 2026. At our option, we may extend the maturity pursuant to an additional one-year extension option, subject to satisfaction of certain conditions.</w:t>
      </w:r>
    </w:p>
    <w:p>
      <w:pPr>
        <w:spacing w:after="0" w:line="138" w:lineRule="exact"/>
        <w:rPr>
          <w:rFonts w:ascii="Times New Roman" w:cs="Times New Roman" w:eastAsia="Times New Roman" w:hAnsi="Times New Roman"/>
          <w:sz w:val="23"/>
          <w:szCs w:val="23"/>
          <w:color w:val="auto"/>
          <w:vertAlign w:val="superscript"/>
        </w:rPr>
      </w:pPr>
    </w:p>
    <w:p>
      <w:pPr>
        <w:ind w:left="200" w:hanging="192"/>
        <w:spacing w:after="0"/>
        <w:tabs>
          <w:tab w:leader="none" w:pos="20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our option, we may extend the maturity date pursuant to two one-year extension options, subject to satisfaction of certain conditions.</w:t>
      </w:r>
    </w:p>
    <w:p>
      <w:pPr>
        <w:spacing w:after="0" w:line="143" w:lineRule="exact"/>
        <w:rPr>
          <w:rFonts w:ascii="Times New Roman" w:cs="Times New Roman" w:eastAsia="Times New Roman" w:hAnsi="Times New Roman"/>
          <w:sz w:val="21"/>
          <w:szCs w:val="21"/>
          <w:color w:val="auto"/>
          <w:vertAlign w:val="superscript"/>
        </w:rPr>
      </w:pPr>
    </w:p>
    <w:p>
      <w:pPr>
        <w:jc w:val="both"/>
        <w:ind w:firstLine="8"/>
        <w:spacing w:after="0" w:line="235" w:lineRule="auto"/>
        <w:tabs>
          <w:tab w:leader="none" w:pos="227"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At our option, we may extend the maturity date pursuant to two six-month extension options, subject to satisfaction of certain conditions. Amounts exclude unamortized debt issuance costs of $7,356 and $713 as of December 31, 2025 and 2024, respectively, which are included in the line item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Assets, Net </w:t>
      </w:r>
      <w:r>
        <w:rPr>
          <w:rFonts w:ascii="Times New Roman" w:cs="Times New Roman" w:eastAsia="Times New Roman" w:hAnsi="Times New Roman"/>
          <w:sz w:val="18"/>
          <w:szCs w:val="18"/>
          <w:color w:val="auto"/>
        </w:rPr>
        <w:t>on the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 Payable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the mortgage loan payable is collateralized by industrial properties with a net carrying value of $29,395. We believe the Operating Partnership and the Company were in compliance with all covenants relating to our mortgage loan as of December 31, 2025.</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 Net</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senior notes issued in a private placement (the "Private Placement Notes") are unsecured obligations of the Operating Partnership that are fully and unconditionally guaranteed by the Company and require semi-annual interest payments.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May 14, 2025, we issued $450,000 of senior unsecured notes due January 15, 2031 (the "2031 Notes"). The 2031 Notes bear interest at a fixed rate of 5.25% per annum, payable semi-annually in arrears on January 15 and July 15 of each year, beginning January 15, 2026. The notes were issued at 99.265% of par, resulting in an original issue discount that will be amortized as an adjustment to interest expense. In anticipation of the issuance, we entered into two five-year treasury lock agreements (the "2030 Treasury Locks") to hedge the interest rate risk associated with the 2031 Notes. We settled the 2030 Treasury Locks on May 13, 2025 for a payment of $250, which was recorded in other comprehensive income and will be amortized to interest expense over a five-year period. Taking into account the original issue discount and the settlement amount of the 2030 Treasury Locks, the effective interest rate on the 2031 Notes is 5.41%. The 2031 Notes include customary covenants, including, but not limited to, limitations on the incurrence of additional indebtedness and requirements to maintain specified debt service coverage ratios.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Term Loans, Net</w:t>
      </w:r>
    </w:p>
    <w:p>
      <w:pPr>
        <w:spacing w:after="0" w:line="14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March 18, 2025, we amended and restated our existing $200,000 unsecured term loan (as amended and restated, the "2025 Unsecured Term Loan"). The 2025 Unsecured Term Loan matures on March 17, 2028, and includes two optional one-year extensions, subject to the satisfaction of certain conditions. The 2025 Unsecured Term Loan provides for interest-only payments during the term and bears interest at a variable rate based on SOFR, plus a 10 basis point SOFR adjustment and a credit spread of 85 basis points based on our current credit ratings and consolidated leverage ratio. We have interest rate swaps outstanding with a notional value of $200,000 that fix the SOFR rate component at 0.88% at December 31, 2025 and mature on February 2, 2026. The all-in interest rate at December 31, 2025 is 1.83%. See Note 12 for additional information. The 2025 Unsecured Term Loan may be increased, at our request and subject to willingness of existing or new lenders to fund such increase and other customary conditions, to a maximum of $460,000.</w:t>
      </w:r>
    </w:p>
    <w:p>
      <w:pPr>
        <w:spacing w:after="0" w:line="13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$300,000 unsecured term loan (the "2022 Unsecured Term Loan II") matures on August 12, 2026, with the option to extend the term for an additional one-year period, subject to satisfaction of certain conditions. At December 31, 2025, the 2022 Unsecured Term Loan II requires interest-only payments and bears interest at a variable rate based on SOFR, plus a 10 basis point SOFR adjustment and a credit spread of 85 basis points. The interest rate is subject to adjustment based on changes to our leverage ratio, credit ratings and sustainability-linked pricing metrics. Additionally, we have interest rate swaps with an aggregate notional value of $300,000 that effectively lock the SOFR rate at 3.47%. The all-in interest rate at December 31, 2025 is 4.42%. $150,000 of the notional amount of the interest rate swaps matures on August 1, 2027, while the remaining $150,000 of the notional amount of the interest rate swaps matures on December 1, 2028. See Note 12 for additional information.</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$425,000 unsecured term loan (the "2022 Unsecured Term Loan") matures on October 18, 2027. At December 31, 2025, the 2022 Unsecured Term Loan requires interest-only payments and bears interest at a variable rate based on SOFR, plus a 10 basis point SOFR adjustment and a credit spread of 85 basis points. The interest rate is subject to adjustment based on changes to our leverage ratio, credit ratings and sustainability-linked pricing metrics. Additionally, we have interest rate swaps with an aggregate notional value of $425,000 that lock the SOFR rate at 2.69%. The all-in interest rate at December 31, 2025 is 3.64%. The interest rate swaps mature on September 30, 2027. See Note 12 for additional information.</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"Unsecured Term Loans" are comprised of the 2025 Unsecured Term Loan, the 2022 Unsecured Term Loan II and the 2022 Unsecured Term Loan. On January 22, 2026, we refinanced our 2022 Unsecured Term Loan and our 2022 Unsecured Term Loan II and we amended our 2025 Unsecured Term Loan. See Note 15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Credit Facility</w:t>
      </w:r>
    </w:p>
    <w:p>
      <w:pPr>
        <w:spacing w:after="0" w:line="1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March 18, 2025, we amended and restated our existing $750,000 revolving credit agreement, increasing the total capacity to $850,000 (as amended and restated, the "Unsecured Credit Facility"). The Unsecured Credit Facility matures on March 16, 2029, and includes two optional six-month extensions, subject to the satisfaction of certain conditions. At December 31, 2025, borrowings under the Unsecured Credit Facility bear interest at a variable rate based on SOFR, plus a credit spread of 77.5 basis points based on our current credit ratings and consolidated leverage ratio, and requires us to pay a facility fee of 15 basis points. The Unsecured Credit Facility provides for interest-only payments during the term and may be increased, at our request and subject to the willingness of existing or new lenders to fund such increase and other customary conditions, to a maximum of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the stated maturities and scheduled principal payments of our indebtedness, exclusive of discounts, debt issuance costs and the impact of extension options, for the next five years as of December 31, and thereafter: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300,364</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556,449</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390,453</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408,000</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660,600</w:t>
            </w:r>
          </w:p>
        </w:tc>
      </w:tr>
      <w:tr>
        <w:trPr>
          <w:trHeight w:val="248"/>
        </w:trPr>
        <w:tc>
          <w:tcPr>
            <w:tcW w:w="9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2,565,866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Unsecured Credit Facility, Unsecured Term Loans, Private Placement Notes and the indentures governing our senior unsecured notes contain certain financial covenants. These include, among others, restrictions on the incurrence of additional indebtedness and requirements related to debt service coverage ratios. Under the terms of the Unsecured Credit Facility and Unsecured Term Loans, an event of default can occur if the lenders, in their good faith judgment, determine that a material adverse change has occurred, which could prevent timely repayment or materially impair our ability to perform our obligations under the loan agreements. We believe the Operating Partnership and the Company were in compliance with all covenants under the Unsecured Credit Facility, the Unsecured Term Loans, the Private Placement Notes and the indentures governing our senior unsecured notes as of December 31, 2025. However, these financial covenants are complex and there can be no assurance that these provisions would not be interpreted by our lenders and noteholders in a manner that could impose and cause us to incur material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2025 and 2024, the fair value of our indebtedness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254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28"/>
        </w:trPr>
        <w:tc>
          <w:tcPr>
            <w:tcW w:w="55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5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203"/>
        </w:trPr>
        <w:tc>
          <w:tcPr>
            <w:tcW w:w="5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Amount </w:t>
            </w:r>
            <w:r>
              <w:rPr>
                <w:rFonts w:ascii="Times New Roman" w:cs="Times New Roman" w:eastAsia="Times New Roman" w:hAnsi="Times New Roman"/>
                <w:sz w:val="18"/>
                <w:szCs w:val="18"/>
                <w:b w:val="1"/>
                <w:bCs w:val="1"/>
                <w:color w:val="auto"/>
                <w:w w:val="95"/>
                <w:vertAlign w:val="superscript"/>
              </w:rPr>
              <w:t>(A)</w:t>
            </w:r>
          </w:p>
        </w:tc>
        <w:tc>
          <w:tcPr>
            <w:tcW w:w="3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7"/>
                <w:szCs w:val="17"/>
                <w:color w:val="auto"/>
              </w:rPr>
            </w:pPr>
          </w:p>
        </w:tc>
        <w:tc>
          <w:tcPr>
            <w:tcW w:w="122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Amount </w:t>
            </w:r>
            <w:r>
              <w:rPr>
                <w:rFonts w:ascii="Times New Roman" w:cs="Times New Roman" w:eastAsia="Times New Roman" w:hAnsi="Times New Roman"/>
                <w:sz w:val="18"/>
                <w:szCs w:val="18"/>
                <w:b w:val="1"/>
                <w:bCs w:val="1"/>
                <w:color w:val="auto"/>
                <w:w w:val="95"/>
                <w:vertAlign w:val="superscript"/>
              </w:rPr>
              <w:t>(A)</w:t>
            </w:r>
          </w:p>
        </w:tc>
        <w:tc>
          <w:tcPr>
            <w:tcW w:w="300" w:type="dxa"/>
            <w:vAlign w:val="bottom"/>
          </w:tcPr>
          <w:p>
            <w:pPr>
              <w:spacing w:after="0"/>
              <w:rPr>
                <w:sz w:val="17"/>
                <w:szCs w:val="17"/>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 Payable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909,012</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Term Loans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924,814</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Credit Facility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282,162</w:t>
            </w:r>
          </w:p>
        </w:tc>
      </w:tr>
      <w:tr>
        <w:trPr>
          <w:trHeight w:val="248"/>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2,125,314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carrying amounts include unamortized discounts and exclude unamortized debt issuance costs.</w:t>
      </w:r>
    </w:p>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our mortgage loan payable was determined by discounting the future cash flows using current rates at which similar loans with comparable remaining maturities would be issued. These rates were internally estimated. The fair value of the senior unsecured notes was determined based on current rates as advised by our bankers. These rates were based upon recent trades within the same series of the senior unsecured notes, trades for senior unsecured notes with comparable maturities, trades for fixed rate unsecured notes from companies with profiles similar to ours, as well as overall economic conditions. For the Unsecured Credit Facility and the Unsecured Term Loans, the fair value was calculated by discounting future cash flows using current rates, as advised by our bankers, reflecting rates at which loans with similar terms and credit ratings would be issued, assuming no repayment before maturity. We concluded that our fair value determination for our mortgage loan payable, senior unsecured notes, Unsecured Term Loans and Unsecured Credit Facility primarily relied on Level 3 inputs.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5. Variable Interest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Partnerships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Other Real Estate Partnerships are variable interest entities ("VIEs") of the Operating Partnership and the Operating Partnership is the primary beneficiary, thus causing the Other Real Estate Partnerships to be consolidated by the Operating Partnership. In addition, the Operating Partnership is a VIE of the Company and the Company is the primary beneficiary.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assets and liabilities of the Other Real Estate Partnerships, as reflected in our Consolidated Balance Sheets. All amounts are shown net of intercompany eliminations: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0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296,588</w:t>
            </w:r>
          </w:p>
        </w:tc>
      </w:tr>
      <w:tr>
        <w:trPr>
          <w:trHeight w:val="22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w:t>
            </w: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2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w:t>
            </w:r>
          </w:p>
        </w:tc>
      </w:tr>
      <w:tr>
        <w:trPr>
          <w:trHeight w:val="223"/>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339,866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800" w:type="dxa"/>
            <w:vAlign w:val="bottom"/>
            <w:shd w:val="clear" w:color="auto" w:fill="CCEEFF"/>
          </w:tcPr>
          <w:p>
            <w:pPr>
              <w:ind w:left="21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2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Rents Received in Advance and Security Deposits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312,643</w:t>
            </w:r>
          </w:p>
        </w:tc>
      </w:tr>
      <w:tr>
        <w:trPr>
          <w:trHeight w:val="248"/>
        </w:trPr>
        <w:tc>
          <w:tcPr>
            <w:tcW w:w="7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Joint Venture was formed for the purpose of developing, leasing, operating and selling land located in the Phoenix, Arizona metropolitan area. We hold our Joint Venture interest through a consolidated partnership (the "Joint Venture Partnership") in which we own an 88% interest and a third-party partner owns the remaining 12%. As we have the power to direct the activities that most significantly impact the economic performance of the Joint Venture Partnership, we consolidate the Joint Venture Partnership and reflect our partner's share as Noncontrolling Interest (see Note 6). The Joint Venture Partnership holds a 49% interest in the unconsolidated Joint Venture, which we account for under the equity method of accounting. Excluding the minority interest holder's share, we effectively own a 43% interest in the Joint Venture. The Joint Venture Partnership is held through a wholly-owned TRS of the Operating Partnership.</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operating agreement for the Joint Venture, we act as the managing member and are entitled to receive fees for providing management, leasing, development, disposition and asset management services. In addition, we may earn incentive fees based on the ultimate financial performance of the Joint Venture.</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2024 and 2023, we earned fees of $1,491, $3,105 and $6,473, respectively, from the Joint Venture related to asset management, property management, leasing and development services we provided to the Joint Venture, of which $128, $560 and $1,314, respectively, were deferred due to our economic interest in the Joint Venture. During the years ended December 31, 2025, 2024 and 2023, we incurred $629, $1,529 and $3,667, respectively, in fees paid for third-party development, property management and leasing services associated with the Joint Venture. At December 31, 2025 and 2024, outstanding receivables from the Joint Venture totaled $0 and $364, respectively.</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Joint Venture substantially completed development of three buildings, (collectively the “Project”): Building A (approximately 0.4 million square feet of GLA), Building B (approximately 0.4 million square feet of GLA) and Building C (approximately 1.0 million square feet of GLA). During the year ended December, 31, 2025, we acquired Buildings A, B and C from the Joint Venture (see Note 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2" w:name="page83"/>
    <w:bookmarkEnd w:id="82"/>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Net income of the Joint Venture for the years ended December 31, 2025, 2024 and 2023 was $109,030, $6,223 and $46,664, respectively. Net income for the year ended December 31, 2025, included gain on sale of real estate of $108,328, consisting of $66,836 related to the sales of Buildings A, B and C and $40,770 related to the sale of approximately 71 acres of land. Our economic share of the gain from the building sales and land sale was $28,820 and $17,580, respectively. Because we acquired Buildings A, B and C from the Joint Venture, our share of the gain related to the building sales was offset against the basis of the acquired real estate and not recognized in the line item </w:t>
      </w:r>
      <w:r>
        <w:rPr>
          <w:rFonts w:ascii="Times New Roman" w:cs="Times New Roman" w:eastAsia="Times New Roman" w:hAnsi="Times New Roman"/>
          <w:sz w:val="18"/>
          <w:szCs w:val="18"/>
          <w:i w:val="1"/>
          <w:iCs w:val="1"/>
          <w:color w:val="auto"/>
        </w:rPr>
        <w:t>Equity in Income of Joint Venture</w:t>
      </w:r>
      <w:r>
        <w:rPr>
          <w:rFonts w:ascii="Times New Roman" w:cs="Times New Roman" w:eastAsia="Times New Roman" w:hAnsi="Times New Roman"/>
          <w:sz w:val="18"/>
          <w:szCs w:val="18"/>
          <w:color w:val="auto"/>
        </w:rPr>
        <w:t xml:space="preserve"> on the Consolidated Statement of Operations. Net income for the year ended December 31, 2023 included gain on sale of real estate of $40,616 related to the sale of approximately 31 acres of land, of which our economic share was $19,902.</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For the years ended December 31, 2025, 2024 and 2023, we earned incentive fees of $21,806, $1,245 and $9,369, respectively, from the Joint Venture. During the year ended December 31, 2025, $11,763 of incentive fees were offset against the basis of real estate in connection with our acquisition of Buildings A, B and C. As a result, incentive fees of $10,043, $1,245 and $9,369 for the years ended December 31, 2025, 2024 and 2023, respectively, were reflected in the </w:t>
      </w:r>
      <w:r>
        <w:rPr>
          <w:rFonts w:ascii="Times New Roman" w:cs="Times New Roman" w:eastAsia="Times New Roman" w:hAnsi="Times New Roman"/>
          <w:sz w:val="18"/>
          <w:szCs w:val="18"/>
          <w:i w:val="1"/>
          <w:iCs w:val="1"/>
          <w:color w:val="auto"/>
        </w:rPr>
        <w:t>Equity In Income of Joint Venture</w:t>
      </w:r>
      <w:r>
        <w:rPr>
          <w:rFonts w:ascii="Times New Roman" w:cs="Times New Roman" w:eastAsia="Times New Roman" w:hAnsi="Times New Roman"/>
          <w:sz w:val="18"/>
          <w:szCs w:val="18"/>
          <w:color w:val="auto"/>
        </w:rPr>
        <w:t xml:space="preserve"> line item on the Consolidated Statements of Operations.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Project, the Joint Venture entered into a construction loan (the "Joint Venture Loan") which was repaid in conjunction with the sale of Buildings A, B and C during the year ended December 31, 2025. As of December 31, 2024, the outstanding balance of the Joint Venture Loan was $131,111, excluding $269 of unamortized debt issuance costs.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provided a completion guarantee to the Joint Venture related to the remaining infrastructure work associated with the Project. The infrastructure work is being performed by a third-party general contractor pursuant to a guaranteed maximum price contract. Although it is not possible to estimate the amount of additional costs, if any, that we may incur in connection with this completion guarantee, we do not expect to be required to make any material payments to satisfy the guarantees.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part of our assessment of the appropriate accounting treatment for the Joint Venture, we reviewed the operating agreement of the Joint Venture in order to determine our rights and the rights of our joint venture partners, including whether those rights are protective or participating. The Joint Venture's operating agreement contains certain protective rights, such as the requirement of both members' approval to sell, finance or refinance the property and to pay capital expenditures and operating expenditures outside of the approved budget. Also, we and our Joint Venture partners jointly (i) approve the annual budget, (ii) approve certain expenditures, (iii) review and approve the Joint Venture's tax return before filing and (iv) approve each lease at a developed property. We consider the latter rights substantive participation rights that result in shared, joint power over the activities that most significantly impact the performance of the Joint Venture. As such, we concluded to account for our investment in the Joint Venture under the equity method of accounting.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3" w:name="page84"/>
    <w:bookmarkEnd w:id="83"/>
    <w:p>
      <w:pPr>
        <w:ind w:right="52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6. Equity of the Company and Partners' Capital of the Operating Partnership </w:t>
      </w:r>
      <w:r>
        <w:rPr>
          <w:rFonts w:ascii="Times New Roman" w:cs="Times New Roman" w:eastAsia="Times New Roman" w:hAnsi="Times New Roman"/>
          <w:sz w:val="18"/>
          <w:szCs w:val="18"/>
          <w:b w:val="1"/>
          <w:bCs w:val="1"/>
          <w:i w:val="1"/>
          <w:iCs w:val="1"/>
          <w:color w:val="auto"/>
        </w:rPr>
        <w:t>Noncontrolling Interest of the Company</w:t>
      </w:r>
    </w:p>
    <w:p>
      <w:pPr>
        <w:spacing w:after="0" w:line="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equity positions of various individuals and entities that contributed their properties to the Operating Partnership in exchange for Limited Partner Units, as well as the equity positions of the holders of Limited Partner Units issued in connection with the grant of restricted limited partner Units ("RLP Units") pursuant to the Company's stock incentive plan, are collectively referred to as the "Noncontrolling Interests." An RLP Unit is a class of limited partnership interest of the Operating Partnership that is structured as a "profits interest" for U.S. federal income tax purposes and is an award that is granted under our Stock Incentive Plan (see Note 11). Generally, RLP Units entitle the holder to receive distributions from the Operating Partnership that are equivalent to the dividends and distributions that would be made with respect to the number of shares of Common Stock underlying such RLP Units, though receipt of such distributions may be delayed or made contingent on vesting. Once an RLP Unit has vested and received allocations of book income sufficient to increase the book capital account balance associated with such RLP Unit (which will initially be zero) equal to, on a per-unit basis, the book capital account balance associated with a "common" Limited Partner Unit of the Operating Partnership, it automatically becomes a common Limited Partner Unit that is convertible by the holder to one share of Common Stock or a cash equivalent, at the Company's option. Net income is allocated to the Noncontrolling Interests based on the weighted average ownership percentage during the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 Joint Venture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Our ownership interest in the Joint Venture is held through the Joint Venture Partnership with a third party partner and we concluded that we hold the power to direct the activities that most significantly impact the economic performance of the Joint Venture Partnership. As a result, we consolidate the Joint Venture Partnership and reflect our partner's interest in the Joint Venture Partnership that invests in the Joint Venture as a Noncontrolling Interest. For the years ended December 31, 2025, 2024 and 2023, our partner's share of the Joint Venture Partnership's income was $9,036, $537 and $3,949, respectively, and was reflected in the </w:t>
      </w:r>
      <w:r>
        <w:rPr>
          <w:rFonts w:ascii="Times New Roman" w:cs="Times New Roman" w:eastAsia="Times New Roman" w:hAnsi="Times New Roman"/>
          <w:sz w:val="18"/>
          <w:szCs w:val="18"/>
          <w:i w:val="1"/>
          <w:iCs w:val="1"/>
          <w:color w:val="auto"/>
        </w:rPr>
        <w:t>Equity in Income of Joint Venture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Net Income Attributable to the Noncontrolling Interests</w:t>
      </w:r>
      <w:r>
        <w:rPr>
          <w:rFonts w:ascii="Times New Roman" w:cs="Times New Roman" w:eastAsia="Times New Roman" w:hAnsi="Times New Roman"/>
          <w:sz w:val="18"/>
          <w:szCs w:val="18"/>
          <w:color w:val="auto"/>
        </w:rPr>
        <w:t xml:space="preserve"> line items in the Consolidated Statements of Operations. At December 31, 2025 and 2024, the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line item in the Consolidated Balance Sheets includes our third-party partner's interest of $5,971 and $6,838,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Partnership Units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Operating Partnership has issued General Partner Units and Limited Partner Units. The General Partner Units resulted from capital contributions from the Company. The Limited Partner Units are issued in conjunction with the acquisition of certain properties as well as through the issuance of RLP Units. Subject to certain lock-up periods, holders of Limited Partner Units can redeem their Units by providing written notification to the General Partner. Unless the General Partner provides notice of a redemption restriction to the holder, redemption must be made within seven business days after receipt of the holder's notice. The redemption can be effectuated, as determined by the General Partner, either by exchanging the Limited Partner Units for shares of common stock of the Company on a one-for-one basis, subject to adjustment, or by paying cash equal to the fair market value of such shares. Prior requests for redemption have generally been fulfilled with shares of common stock of the Company, and the Operating Partnership intends to continue this practice. If each Limited Partner Unit of the Operating Partnership were redeemed as of December 31, 2025, the Operating Partnership could satisfy its redemption obligations by making an aggregate cash payment of approximately $230,860 or by issuing 4,031,088 shares of the Company's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or General Partner Preferred Units</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has 10,000,000 shares of preferred stock authorized. As of December 31, 2025 and 2024, there were no preferred shares or general partner preferred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Common Stock or Unit Contributions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is a roll-forward of the Company's shares of common stock outstanding and the Operating Partnership's Units outstanding, including equity compensation awards which are discussed in Note 11, for the three years ended December 31,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Partner and</w:t>
            </w:r>
          </w:p>
        </w:tc>
      </w:tr>
      <w:tr>
        <w:trPr>
          <w:trHeight w:val="137"/>
        </w:trPr>
        <w:tc>
          <w:tcPr>
            <w:tcW w:w="7600" w:type="dxa"/>
            <w:vAlign w:val="bottom"/>
          </w:tcPr>
          <w:p>
            <w:pPr>
              <w:spacing w:after="0"/>
              <w:rPr>
                <w:sz w:val="11"/>
                <w:szCs w:val="11"/>
                <w:color w:val="auto"/>
              </w:rPr>
            </w:pPr>
          </w:p>
        </w:tc>
        <w:tc>
          <w:tcPr>
            <w:tcW w:w="18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Limited Partner Units</w:t>
            </w:r>
          </w:p>
        </w:tc>
      </w:tr>
      <w:tr>
        <w:trPr>
          <w:trHeight w:val="190"/>
        </w:trPr>
        <w:tc>
          <w:tcPr>
            <w:tcW w:w="76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7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132,141,503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135,197,269</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Service Awards and Performance Awards (as defined in Note 11)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405,618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Service Awards and Performance Units (as defined in Note 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73,840</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Service Awards and Performance Units (as defined in Note 11)</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Conversion of Limited Partner Units </w:t>
            </w:r>
            <w:r>
              <w:rPr>
                <w:rFonts w:ascii="Times New Roman" w:cs="Times New Roman" w:eastAsia="Times New Roman" w:hAnsi="Times New Roman"/>
                <w:sz w:val="23"/>
                <w:szCs w:val="23"/>
                <w:color w:val="auto"/>
                <w:vertAlign w:val="superscript"/>
              </w:rPr>
              <w:t>(A)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Retirement of Limited Partner Units </w:t>
            </w:r>
            <w:r>
              <w:rPr>
                <w:rFonts w:ascii="Times New Roman" w:cs="Times New Roman" w:eastAsia="Times New Roman" w:hAnsi="Times New Roman"/>
                <w:sz w:val="23"/>
                <w:szCs w:val="23"/>
                <w:color w:val="auto"/>
                <w:vertAlign w:val="superscript"/>
              </w:rPr>
              <w:t>(B)</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132,289,039</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135,667,204</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Service Awards and Performance Awards (as defined in Note 11)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Service Awards and Performance Units (as defined in Note 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56,646</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Service Awards and Performance Units (as defined in Note 11)</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(125,842)</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Conversion of Limited Partner Units </w:t>
            </w:r>
            <w:r>
              <w:rPr>
                <w:rFonts w:ascii="Times New Roman" w:cs="Times New Roman" w:eastAsia="Times New Roman" w:hAnsi="Times New Roman"/>
                <w:sz w:val="23"/>
                <w:szCs w:val="23"/>
                <w:color w:val="auto"/>
                <w:vertAlign w:val="superscript"/>
              </w:rPr>
              <w:t>(A)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Retirement of Limited Partner Units </w:t>
            </w:r>
            <w:r>
              <w:rPr>
                <w:rFonts w:ascii="Times New Roman" w:cs="Times New Roman" w:eastAsia="Times New Roman" w:hAnsi="Times New Roman"/>
                <w:sz w:val="23"/>
                <w:szCs w:val="23"/>
                <w:color w:val="auto"/>
                <w:vertAlign w:val="superscript"/>
              </w:rPr>
              <w:t>(B)</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132,349,119</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135,989,979</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Service Awards and Performance Awards (as defined in Note 11)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549,203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Service Awards and Performance Units (as defined Note 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Service Awards and Performance Units (as defined in Note 11)</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(97,454)</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Conversion of Limited Partner Units </w:t>
            </w:r>
            <w:r>
              <w:rPr>
                <w:rFonts w:ascii="Times New Roman" w:cs="Times New Roman" w:eastAsia="Times New Roman" w:hAnsi="Times New Roman"/>
                <w:sz w:val="23"/>
                <w:szCs w:val="23"/>
                <w:color w:val="auto"/>
                <w:vertAlign w:val="superscript"/>
              </w:rPr>
              <w:t>(A)</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132,470,326</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136,501,414</w:t>
            </w:r>
          </w:p>
        </w:tc>
      </w:tr>
      <w:tr>
        <w:trPr>
          <w:trHeight w:val="20"/>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8"/>
        <w:spacing w:after="0" w:line="235" w:lineRule="auto"/>
        <w:tabs>
          <w:tab w:leader="none" w:pos="242"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years ended December 31, 2025, 2024 and 2023, 61,521, 3,434 and 73,696 Limited Partner Units, respectively, were converted into an equivalent number of shares of the Company's common stock, resulting in a reclassification of $1,242, $67 and $1,332, respectively, from noncontrolling interest to the Company's equity.</w:t>
      </w:r>
    </w:p>
    <w:p>
      <w:pPr>
        <w:spacing w:after="0" w:line="145" w:lineRule="exact"/>
        <w:rPr>
          <w:rFonts w:ascii="Times New Roman" w:cs="Times New Roman" w:eastAsia="Times New Roman" w:hAnsi="Times New Roman"/>
          <w:sz w:val="23"/>
          <w:szCs w:val="23"/>
          <w:color w:val="auto"/>
          <w:vertAlign w:val="superscript"/>
        </w:rPr>
      </w:pPr>
    </w:p>
    <w:p>
      <w:pPr>
        <w:ind w:firstLine="8"/>
        <w:spacing w:after="0" w:line="242" w:lineRule="auto"/>
        <w:tabs>
          <w:tab w:leader="none" w:pos="212"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years ended December 31, 2024 and 2023, 4,429 and 330 Limited Partner Units, respectively, were redeemed by a unitholder for cash and were retired by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February 24, 2023, we entered into three-year distribution agreements with certain sales agents to sell, from time to time, up to 16,000,000 shares of the Company's common stock, for up to $800,000 aggregate gross sales proceeds, through "at-the-market" offerings (the "ATM Program"). On May 8, 2025, in connection with our filing of a universal shelf registration statement on Form S-3 with the Securities and Exchange Commission and subsequent issuance of the 2031 Notes, we suspended our use of the ATM Program.</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21, 2025, we resumed the ATM Program by, among other things, entering into new distribution agreements with certain sales agents to sell, from time to time, up to 16,000,000 shares of the Company's common stock, for up to $800,000 aggregate gross sales proceeds, through "at-the-market" offerings under the ATM Program. Each new distribution agreement has a term expiring on May 7, 2028.</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Under the terms of the ATM Program, sales are to be made through transactions that are deemed to be "at-the-market" offerings, including sales made directly on the New York Stock Exchange, sales made through a market maker other than on an exchange or sales made through privately negotiated transactions.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years ended December 31, 2025, 2024 and 2023, we did not issue shares of the Company's common stock under the ATM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Dividends/Distributions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dividends/distributions accrued during the past three years: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37"/>
        </w:trPr>
        <w:tc>
          <w:tcPr>
            <w:tcW w:w="43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1"/>
                <w:szCs w:val="11"/>
                <w:color w:val="auto"/>
              </w:rPr>
            </w:pPr>
          </w:p>
        </w:tc>
        <w:tc>
          <w:tcPr>
            <w:tcW w:w="1060" w:type="dxa"/>
            <w:vAlign w:val="bottom"/>
          </w:tcPr>
          <w:p>
            <w:pPr>
              <w:jc w:val="center"/>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8"/>
        </w:trPr>
        <w:tc>
          <w:tcPr>
            <w:tcW w:w="4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r>
      <w:tr>
        <w:trPr>
          <w:trHeight w:val="190"/>
        </w:trPr>
        <w:tc>
          <w:tcPr>
            <w:tcW w:w="43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6"/>
                <w:szCs w:val="16"/>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Distribution</w:t>
            </w:r>
          </w:p>
        </w:tc>
      </w:tr>
      <w:tr>
        <w:trPr>
          <w:trHeight w:val="23"/>
        </w:trPr>
        <w:tc>
          <w:tcPr>
            <w:tcW w:w="43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Stock/Operating Partnership Units</w:t>
            </w:r>
          </w:p>
        </w:tc>
        <w:tc>
          <w:tcPr>
            <w:tcW w:w="29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243,177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173,255</w:t>
            </w:r>
          </w:p>
        </w:tc>
      </w:tr>
      <w:tr>
        <w:trPr>
          <w:trHeight w:val="850"/>
        </w:trPr>
        <w:tc>
          <w:tcPr>
            <w:tcW w:w="4380" w:type="dxa"/>
            <w:vAlign w:val="bottom"/>
          </w:tcPr>
          <w:p>
            <w:pPr>
              <w:spacing w:after="0"/>
              <w:rPr>
                <w:sz w:val="24"/>
                <w:szCs w:val="24"/>
                <w:color w:val="auto"/>
              </w:rPr>
            </w:pPr>
          </w:p>
        </w:tc>
        <w:tc>
          <w:tcPr>
            <w:tcW w:w="29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for the Company and the Operating Partnership for the years ended December 31, 2025 and 2024:</w:t>
      </w:r>
    </w:p>
    <w:p>
      <w:pPr>
        <w:spacing w:after="0" w:line="228"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Comprehensive</w:t>
      </w:r>
    </w:p>
    <w:p>
      <w:pPr>
        <w:ind w:left="8680"/>
        <w:spacing w:after="0" w:line="221" w:lineRule="auto"/>
        <w:rPr>
          <w:sz w:val="20"/>
          <w:szCs w:val="20"/>
          <w:color w:val="auto"/>
        </w:rPr>
      </w:pPr>
      <w:r>
        <w:rPr>
          <w:rFonts w:ascii="Times New Roman" w:cs="Times New Roman" w:eastAsia="Times New Roman" w:hAnsi="Times New Roman"/>
          <w:sz w:val="14"/>
          <w:szCs w:val="14"/>
          <w:b w:val="1"/>
          <w:bCs w:val="1"/>
          <w:color w:val="auto"/>
        </w:rPr>
        <w:t>(Loss) Income</w:t>
      </w:r>
    </w:p>
    <w:tbl>
      <w:tblPr>
        <w:tblLayout w:type="fixed"/>
        <w:tblInd w:w="0" w:type="dxa"/>
        <w:tblCellMar>
          <w:top w:w="0" w:type="dxa"/>
          <w:left w:w="0" w:type="dxa"/>
          <w:bottom w:w="0" w:type="dxa"/>
          <w:right w:w="0" w:type="dxa"/>
        </w:tblCellMar>
      </w:tblPr>
      <w:tr>
        <w:trPr>
          <w:trHeight w:val="131"/>
        </w:trPr>
        <w:tc>
          <w:tcPr>
            <w:tcW w:w="5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for Operating</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for Company</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0" w:type="dxa"/>
            <w:vAlign w:val="bottom"/>
          </w:tcPr>
          <w:p>
            <w:pPr>
              <w:spacing w:after="0"/>
              <w:rPr>
                <w:sz w:val="1"/>
                <w:szCs w:val="1"/>
                <w:color w:val="auto"/>
              </w:rPr>
            </w:pPr>
          </w:p>
        </w:tc>
      </w:tr>
      <w:tr>
        <w:trPr>
          <w:trHeight w:val="223"/>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0" w:type="dxa"/>
            <w:vAlign w:val="bottom"/>
          </w:tcPr>
          <w:p>
            <w:pPr>
              <w:spacing w:after="0"/>
              <w:rPr>
                <w:sz w:val="1"/>
                <w:szCs w:val="1"/>
                <w:color w:val="auto"/>
              </w:rPr>
            </w:pPr>
          </w:p>
        </w:tc>
      </w:tr>
      <w:tr>
        <w:trPr>
          <w:trHeight w:val="223"/>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reclassifications out of accumulated other comprehensive income for both the Company and the Operating Partnership for the years ended December 31, 2025, 2024 and 2023:</w:t>
      </w:r>
    </w:p>
    <w:p>
      <w:pPr>
        <w:spacing w:after="0" w:line="23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 Other</w:t>
      </w:r>
    </w:p>
    <w:p>
      <w:pPr>
        <w:spacing w:after="0" w:line="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64"/>
              <w:spacing w:after="0" w:line="14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Items in the Consolidated</w:t>
            </w:r>
          </w:p>
        </w:tc>
        <w:tc>
          <w:tcPr>
            <w:tcW w:w="0" w:type="dxa"/>
            <w:vAlign w:val="bottom"/>
          </w:tcPr>
          <w:p>
            <w:pPr>
              <w:spacing w:after="0"/>
              <w:rPr>
                <w:sz w:val="1"/>
                <w:szCs w:val="1"/>
                <w:color w:val="auto"/>
              </w:rPr>
            </w:pPr>
          </w:p>
        </w:tc>
      </w:tr>
      <w:tr>
        <w:trPr>
          <w:trHeight w:val="146"/>
        </w:trPr>
        <w:tc>
          <w:tcPr>
            <w:tcW w:w="4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Components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6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15"/>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Previously Settled Derivative Instruments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Settlement Receipts from our Counterparties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(21,583)</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change in the fair value of derivatives designated and that qualify as cash flow hedges is recorded in other comprehensive income and is subsequently reclassified to earnings through interest expense over the life of the derivative or over the life of the debt. In the next 12 months, we estimate that approximately $3,100 will be reclassified to net income as a decrease to interest expense.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8. Earnings Per Share and Earnings Per Unit ("EPS"/"EPU")</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EPS of the Company is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287,343</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274,584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(In Thousands):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Performance Units (See Note 11)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9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Net Income Available to First Industrial Realty Trust, Inc.'s Common Stockholders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EPU of the Operating Partnership is presented below:</w:t>
      </w: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to Unitholders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254,550</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294,670</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281,150</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(In Thousands):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134,777</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Performance Units and certain Performance RLP Units (See Note 11)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EPU:</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Available to Unitholders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EPU:</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Available to Unitholders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December 31, 2025, 2024 and 2023, participating securities for the Company included 68,829, 92,663 and 100,795, respectively, of Service Awards (see Note 11), which participate in non-forfeitable distributions. At December 31, 2025, 2024, and 2023, participating securities for the Operating Partnership included 189,217, 259,957 and 253,955, respectively, of Service Awards and certain Performance Awards (see Note 11), which participate in non-forfeitable distributions. Under the two-class method, participating security holders are allocated income, in proportion to total weighted average shares or Units outstanding, based upon the greater of net income or common stock dividends or Unit distributions declared.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operations of our TRSs, which are not entitled to the dividends paid deduction and are subject to federal, state and local income taxes on its taxable income. During the years ended December 31, 2025, 2024 and 2023, the Company qualified as a REIT and incurred no federal income tax expense; accordingly, the only federal income taxes included in the accompanying Consolidated Financial Statements relate to activities of our TRSs. The components of the income tax provision for the years ended December 31, 2025, 2024 and 2023 is comprised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48"/>
        </w:trPr>
        <w:tc>
          <w:tcPr>
            <w:tcW w:w="6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income taxes represent the tax effect of the temporary differences between the book and tax basis of assets and liabilities. Deferred income tax assets and liabilities include the following as of December 31,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Basis Difference - Investment in Joint Venture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 Temporary Differences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 Investment in Joint Venture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 Temporary Differences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Total Net Deferred Income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evaluate tax positions taken in the financial statements on a quarterly basis under the interpretation for accounting for uncertainty in income taxes. As a result of this evaluation, we may recognize a tax benefit from an uncertain tax position only if it is "more-likely-than-not" that the tax position will be sustained on examination by taxing authorities. As of December 31, 2025, we do not have any unrecognized tax benefits.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and various states. The statute of limitations for income tax returns is generally three years. As such, our tax returns that are subject to examination would be primarily from 2022 and thereafter. There were no material interest or penalties recorded for the years ended December 31, 2025, 2024 and 2023.</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The amount of income taxes we paid during the year ended December 31, 2025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California</w:t>
            </w:r>
          </w:p>
        </w:tc>
        <w:tc>
          <w:tcPr>
            <w:tcW w:w="38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Pennsylvania</w:t>
            </w:r>
          </w:p>
        </w:tc>
        <w:tc>
          <w:tcPr>
            <w:tcW w:w="3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38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Arizona</w:t>
            </w:r>
          </w:p>
        </w:tc>
        <w:tc>
          <w:tcPr>
            <w:tcW w:w="3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States</w:t>
            </w:r>
          </w:p>
        </w:tc>
        <w:tc>
          <w:tcPr>
            <w:tcW w:w="3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1"/>
        </w:trPr>
        <w:tc>
          <w:tcPr>
            <w:tcW w:w="8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520" w:firstLine="405"/>
        <w:spacing w:after="0" w:line="438" w:lineRule="auto"/>
        <w:rPr>
          <w:sz w:val="20"/>
          <w:szCs w:val="20"/>
          <w:color w:val="auto"/>
        </w:rPr>
      </w:pPr>
      <w:r>
        <w:rPr>
          <w:rFonts w:ascii="Times New Roman" w:cs="Times New Roman" w:eastAsia="Times New Roman" w:hAnsi="Times New Roman"/>
          <w:sz w:val="18"/>
          <w:szCs w:val="18"/>
          <w:color w:val="auto"/>
        </w:rPr>
        <w:t xml:space="preserve">The amount of income taxes we paid during the years ended December 31, 2024 and 2023 was $5,299 and $27,754, respectively. </w:t>
      </w:r>
      <w:r>
        <w:rPr>
          <w:rFonts w:ascii="Times New Roman" w:cs="Times New Roman" w:eastAsia="Times New Roman" w:hAnsi="Times New Roman"/>
          <w:sz w:val="18"/>
          <w:szCs w:val="18"/>
          <w:b w:val="1"/>
          <w:bCs w:val="1"/>
          <w:i w:val="1"/>
          <w:iCs w:val="1"/>
          <w:color w:val="auto"/>
        </w:rPr>
        <w:t>Federal Income Tax Treatment of Common Dividends</w:t>
      </w:r>
    </w:p>
    <w:p>
      <w:pPr>
        <w:spacing w:after="0" w:line="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dividends paid to the Company's common shareholders per common share for income tax purposes were characterized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a</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a</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2"/>
                <w:szCs w:val="12"/>
                <w:color w:val="auto"/>
              </w:rPr>
            </w:pPr>
          </w:p>
        </w:tc>
        <w:tc>
          <w:tcPr>
            <w:tcW w:w="8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Ordinary Income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0.7080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0.6756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52.78 %</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Unrecaptured Section 1250 Capital Gain</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0.2948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0.0536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Capital Gain </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0.4772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0.0956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Qualified Dividend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0.2028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0.4552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35.56 %</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years ended December 31, 2025, 2024 and 2023, the Code Section 199A dividend is equal to the total ordinary income dividend.</w:t>
      </w:r>
    </w:p>
    <w:p>
      <w:pPr>
        <w:spacing w:after="0" w:line="86" w:lineRule="exact"/>
        <w:rPr>
          <w:rFonts w:ascii="Times New Roman" w:cs="Times New Roman" w:eastAsia="Times New Roman" w:hAnsi="Times New Roman"/>
          <w:sz w:val="20"/>
          <w:szCs w:val="20"/>
          <w:color w:val="auto"/>
          <w:vertAlign w:val="superscript"/>
        </w:rPr>
      </w:pPr>
    </w:p>
    <w:p>
      <w:pPr>
        <w:ind w:right="20" w:firstLine="8"/>
        <w:spacing w:after="0" w:line="226" w:lineRule="auto"/>
        <w:tabs>
          <w:tab w:leader="none" w:pos="222"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years ended December 31, 2024 and 2023, Section 1061 of the Code related to Capital Gains for the One Year Amounts was 0% and 0%, respectively, and for the Three Year Amounts was 0% and 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Disclosures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a lessee on a limited number of ground and office leases (the "Operating Leases"). Our office leases have remaining lease terms of less than one year to six years and our ground leases have remaining terms of 29 years to 44 years. For the year ended December 31, 2025, we recognized $3,240 of operating lease expense, inclusive of short-term and variable lease costs which are not significant.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the maturities of operating lease liabilities for the next five years as of December 31, 2025, and thereafter:</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40,530</w:t>
            </w:r>
          </w:p>
        </w:tc>
      </w:tr>
      <w:tr>
        <w:trPr>
          <w:trHeight w:val="223"/>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51,641</w:t>
            </w:r>
          </w:p>
        </w:tc>
      </w:tr>
      <w:tr>
        <w:trPr>
          <w:trHeight w:val="229"/>
        </w:trPr>
        <w:tc>
          <w:tcPr>
            <w:tcW w:w="9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Imputed Interest </w:t>
            </w:r>
            <w:r>
              <w:rPr>
                <w:rFonts w:ascii="Times New Roman" w:cs="Times New Roman" w:eastAsia="Times New Roman" w:hAnsi="Times New Roman"/>
                <w:sz w:val="23"/>
                <w:szCs w:val="23"/>
                <w:color w:val="auto"/>
                <w:vertAlign w:val="superscript"/>
              </w:rPr>
              <w:t>(A)</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(32,191)</w:t>
            </w:r>
          </w:p>
        </w:tc>
      </w:tr>
      <w:tr>
        <w:trPr>
          <w:trHeight w:val="248"/>
        </w:trPr>
        <w:tc>
          <w:tcPr>
            <w:tcW w:w="9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Calculated using the discount rate for each lease.</w:t>
      </w:r>
    </w:p>
    <w:p>
      <w:pPr>
        <w:spacing w:after="0" w:line="1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2025, our weighted average remaining lease term for the Operating Leases is 32.6 years and the weighted average discount rate is 7.2%.</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number of the Operating Leases include options to extend the lease term. For purposes of determining our lease term, we excluded periods covered by an option since it was not reasonably certain at lease commencement that we would exercise the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Disclosures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properties and certain land parcels are leased to tenants and classified as operating leases. For the years ended December 31, 2025, 2024 and 2023, we recognized lease revenue of $719,220, $660,967 and $602,294, respectively, including variable lease payments of $156,306, $146,568 and $131,823, respectively. Variable lease payments primarily consist of tenant reimbursements of property operating expenses. Future minimum rental receipts, excluding variable payments, under non-cancelable operating leases that commenced prior to December 31, 2025 are approximately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573,213</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540,572</w:t>
            </w: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457,338</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364,593</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288,941</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708,556</w:t>
            </w:r>
          </w:p>
        </w:tc>
      </w:tr>
      <w:tr>
        <w:trPr>
          <w:trHeight w:val="248"/>
        </w:trPr>
        <w:tc>
          <w:tcPr>
            <w:tcW w:w="9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2,933,213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Several of our operating leases include options to extend the lease term and/or to purchase the building. For purposes of determining the lease term and lease classification, we exclude these extension periods and purchase options unless it is reasonably certain at lease commencement that the option will be exercised.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11. Long-Term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maintains a stock incentive plan which is administered by the Compensation Committee of the Board of Directors in which officers, certain employees and the Company's independent directors are eligible to participate (the "Stock Incentive Plan"). Among other forms of allowed awards, awards made under the Stock Incentive Plan during the three years ended December 31, 2025 have been in the form of restricted stock awards, restricted stock unit awards, performance share awards and RLP Units (as defined in Note 6). Special provisions apply to awards granted under the Stock Incentive Plan in the event of a change in control in the Company. As of December 31, 2025, awards covering 3.1 million shares of common stock were available to be granted under the Stock Incentive Plan. Under the Stock Incentive Plan, each RLP Unit counts as one share of common stock for purposes of calculating the limit on shares that may be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with Performance Measures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granted 37,435, 46,947 and 44,821 performance units ("Performance Units"), respectively, to certain employees. In addition, the Company granted 376,089, 263,159 and 280,083 RLP Units, respectively, for the years ended December 31, 2025, 2024 and 2023, with the same performance-based criteria as the Performance Units ("Performance RLP Units" and, together with the Performance Units, collectively the "Performance Awards") to certain employees. A portion of each Performance Award vests based upon the total shareholder return ("TSR") of the Company's common stock compared to the TSR of the FTSE Nareit All Equity Index and the remainder vests based upon the TSR of the Company’s common stock compared to a specified group of peer industrial real estate companies. The performance period for awards issued in 2025 is three years and compensation expense is charged to earnings over the applicable vesting period for the Performance Awards. At the end of the measuring period, vested Performance Units convert into shares of common stock. The participant is also entitled to dividend equivalents for shares or RLP Units issued pursuant to vested Performance Awards. The Operating Partnership issues General Partner Units to the Company in the same amounts for vested Performance Units.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Performance Awards issued for the years ended December 31, 2025, 2024 and 2023, had fair value of $11,744, $9,281 and $8,948,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were determined by a lattice-binomial option-pricing model based on Monte Carlo simulations using the following assumptions: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7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6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2.99 %</w:t>
            </w:r>
          </w:p>
        </w:tc>
        <w:tc>
          <w:tcPr>
            <w:tcW w:w="1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2.42 %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 range used</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21.36% - 22.81%</w:t>
            </w: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23.41% - 24.52%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 - 32.03%</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 weighted average</w:t>
            </w:r>
          </w:p>
        </w:tc>
        <w:tc>
          <w:tcPr>
            <w:tcW w:w="1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22.01 %</w:t>
            </w:r>
          </w:p>
        </w:tc>
        <w:tc>
          <w:tcPr>
            <w:tcW w:w="1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23.79 %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29.42 %</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4.38% - 4.49%</w:t>
            </w: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4.20% - 5.24%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- 4.78%</w:t>
            </w:r>
          </w:p>
        </w:tc>
      </w:tr>
    </w:tbl>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Performance Award transactions for the year ended December 31, 2025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 RLP</w:t>
            </w:r>
          </w:p>
        </w:tc>
        <w:tc>
          <w:tcPr>
            <w:tcW w:w="3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120,041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749,586</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31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37,435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376,089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31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(14,568)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31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(18,745)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124,163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917,221</w:t>
            </w:r>
          </w:p>
        </w:tc>
        <w:tc>
          <w:tcPr>
            <w:tcW w:w="3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Based Awards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awarded 53,126, 61,168 and 56,236 of restricted stock units ("Service Units"), respectively, to certain employees and outside directors. In addition, for the years ended December 31, 2025, 2024 and 2023, the Company awarded 123,698, 102,548 and 98,342 RLP Units, respectively, ("Service RLP Units" and, together with the Service Units, collectively the "Service Awards") to certain employees and outside directors. The Service Awards granted to employees were based on the prior achievement of certain corporate performance goals and generally vest ratably over a period of three years based on continued employment. Service Awards granted to outside directors vest after one year. Compensation expense is charged to earnings over the vesting periods for the Service Awards. At the end of the service period, vested Service Units convert into shares of common stock. The Operating Partnership issues restricted Unit awards to the Company in the same amount for the restricted stock units.</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Service Awards issued for the years ended December 31, 2025, 2024 and 2023 had fair value of $8,863, $8,408 and $7,948, respectively. The fair value is based on the Company's stock price on the date such awards were approved by the Compensation Committee of the Board of Directors. Service Award transactions for the year ended December 31, 2025 are summarized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12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Service Units</w:t>
            </w:r>
          </w:p>
        </w:tc>
        <w:tc>
          <w:tcPr>
            <w:tcW w:w="300" w:type="dxa"/>
            <w:vAlign w:val="bottom"/>
          </w:tcPr>
          <w:p>
            <w:pPr>
              <w:spacing w:after="0"/>
              <w:rPr>
                <w:sz w:val="11"/>
                <w:szCs w:val="11"/>
                <w:color w:val="auto"/>
              </w:rPr>
            </w:pPr>
          </w:p>
        </w:tc>
        <w:tc>
          <w:tcPr>
            <w:tcW w:w="118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RLP Units</w:t>
            </w:r>
          </w:p>
        </w:tc>
        <w:tc>
          <w:tcPr>
            <w:tcW w:w="300" w:type="dxa"/>
            <w:vAlign w:val="bottom"/>
          </w:tcPr>
          <w:p>
            <w:pPr>
              <w:spacing w:after="0"/>
              <w:rPr>
                <w:sz w:val="11"/>
                <w:szCs w:val="11"/>
                <w:color w:val="auto"/>
              </w:rPr>
            </w:pPr>
          </w:p>
        </w:tc>
        <w:tc>
          <w:tcPr>
            <w:tcW w:w="108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30"/>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(71,545)</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(91,103)</w:t>
            </w:r>
          </w:p>
        </w:tc>
        <w:tc>
          <w:tcPr>
            <w:tcW w:w="3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 Related to Long-Term Compensation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we recognized $20,297, $20,085 and $16,673, respectively, in compensation expense related to Performance Awards and Service Awards. Performance Award and Service Award compensation expense capitalized in connection with development activities was $2,919, $2,599 and $3,014 for the years ended December 31, 2025, 2024 and 2023, respectively. At December 31, 2025, we had $7,695 in unrecognized compensation related to unvested Performance Awards and Service Awards. The weighted average period that the unrecognized compensation is expected to be recognized is 0.82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Eligibility</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All award agreements for Performance Awards and Service Awards contain a retirement eligibility policy for employees with at least 10 years of continuous service and are at least 60 years old. For employees that meet the age and service eligibility requirements, their awards are non-forfeitable. </w:t>
      </w:r>
      <w:r>
        <w:rPr>
          <w:rFonts w:ascii="Times New Roman" w:cs="Times New Roman" w:eastAsia="Times New Roman" w:hAnsi="Times New Roman"/>
          <w:sz w:val="18"/>
          <w:szCs w:val="18"/>
          <w:color w:val="212529"/>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such, </w:t>
      </w:r>
      <w:r>
        <w:rPr>
          <w:rFonts w:ascii="Times New Roman" w:cs="Times New Roman" w:eastAsia="Times New Roman" w:hAnsi="Times New Roman"/>
          <w:sz w:val="18"/>
          <w:szCs w:val="18"/>
          <w:color w:val="000000"/>
        </w:rPr>
        <w:t>we recognized 100% of the expenses for awards granted to retirement-eligible employees at the grant date as if fully vested. For employees who will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meet the eligibility requirements during the normal vesting period, the grants are amortized over the shorter service period. Additionally, our Chief Executive Officer's former employment agreement contained a retirement provision, which provided for all of his outstanding Performance Awards and Service Awards to be non-forfeitable effective December 31, 2024. As such, his Performance Awards and Service Awards granted during the years ended December 31, 2024 and 2023 were amortized over one year and two years, respectively, as opposed to the three-year vesting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Company's 401(k) Plan, all eligible employees may participate by making voluntary contributions, and we may make, but are not required to make, matching contributions. For the years ended December 31, 2025, 2024 and 2023, total expense related to matching contributions was $1,478, $1,428 and $1,382,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objectives in using derivatives are to add stability to interest expense and to manage our cash flow volatility and exposure to interest rate movements. To accomplish these objectives, we primarily use derivative instruments as part of our interest rate risk management strategy. Derivative instruments designated as cash flow hedges involve the receipt of variable-rate amounts from a counterparty in exchange for fixed-rate payments over the life of the agreements without exchange of the underlying notional amount.</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May 2025, in connection with the issuance of the 2031 Notes, we entered into two treasury locks with an aggregate notional value of $350,000 (the "2030 Treasury Locks") to manage our exposure to changes in the five-year U.S. Treasury rate. We paid approximately $250 to settle the 2030 Treasury Locks with our counterparties. The 2030 Treasury Locks effectively fixed the five-year U.S. Treasury rate at a weighted average of 4.12%. We designated the 2030 Treasury Locks as cash flow hedges and the settlement payment will be amortized into interest expense over the five-year hedge period (see Note 4).</w:t>
      </w:r>
    </w:p>
    <w:p>
      <w:pPr>
        <w:spacing w:after="0" w:line="12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use interest rate swaps to manage our exposure to changes in SOFR related to our Unsecured Term Loans. All of our swaps have been designated as cash flow hedges.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three interest rate swaps with an aggregate notional value of $200,000 that fix the SOFR rate component at 0.88% at December 31, 2025 and mature on February 2, 2026 (the "2021 Swaps"). During the year ended December 31, 2025, we entered into three forward-starting swaps commencing February 2, 2026, with an aggregate notional value of $200,000 that fix SOFR at 3.15% and mature on February 1, 2029 (the "2026 Swaps").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eight interest rate swaps with an aggregate notional value of $425,000 that fix the SOFR rate component at 2.69% and mature on September 30, 2027 (the "2022 Swaps").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entered into seven interest rate swaps with an aggregate notional value of $300,000 (the "2022 II Swaps") and of this amount, $150,000 matured on December 1, 2025 and the remaining $150,000 matures on August 1, 2027. The effective fixed SOFR rate for the 2022 II Swaps was 3.93% prior to the December 1, 2025 maturity. During the year ended December 31, 2025, we entered into three forward-starting swaps that commenced December 1, 2025, with an aggregate notional value of $150,000 that fix SOFR at 3.19% and mature on December 1, 2028 (the "2025 Swaps"). As of December 31, 2025, we have seven interest rate swaps with an aggregate notional value of $300,000 that fix the SOFR rate component at 3.47%.</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"Swaps" are comprised of the 2021 Swaps, the 2026 Swaps, the 2022 Swaps, the 2022 II Swaps, and the 2025 Swaps.</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agreements with our derivative counterparties contain cross-default provisions, which may be triggered if we default on other indebtedness, subject to certain thresholds. As of December 31, 2025, we had not posted any collateral under these agreements and were in compliance with all contractual provisions of these agreements. In the event of a breach, we could be required to settle our obligations at the termination values within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4" w:name="page95"/>
    <w:bookmarkEnd w:id="94"/>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following table sets forth our financial assets and liabilities related to the Swaps, which are included in the line items </w:t>
      </w:r>
      <w:r>
        <w:rPr>
          <w:rFonts w:ascii="Times New Roman" w:cs="Times New Roman" w:eastAsia="Times New Roman" w:hAnsi="Times New Roman"/>
          <w:sz w:val="18"/>
          <w:szCs w:val="18"/>
          <w:i w:val="1"/>
          <w:iCs w:val="1"/>
          <w:color w:val="auto"/>
        </w:rPr>
        <w:t>Prepaid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Assets, Net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Accounts Payable, Accrued Expenses and Other Liabilities </w:t>
      </w:r>
      <w:r>
        <w:rPr>
          <w:rFonts w:ascii="Times New Roman" w:cs="Times New Roman" w:eastAsia="Times New Roman" w:hAnsi="Times New Roman"/>
          <w:sz w:val="18"/>
          <w:szCs w:val="18"/>
          <w:color w:val="auto"/>
        </w:rPr>
        <w:t>on the Consolidated Balance Sheets and are accounted for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basis as of December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December</w:t>
            </w: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a hedging instrument: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Swaps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Swaps</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Swaps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Swaps</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II Swaps</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0"/>
                <w:szCs w:val="20"/>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7"/>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December</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a hedging instrument: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Swaps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Swaps</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II Swaps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was no ineffectiveness recorded on the Swaps during the year ended December 31, 2025. See Note 7 for more information regarding our derivatives.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estimated fair value of the Swaps was determined using the market standard methodology of netting the discounted fixed cash payments and the discounted expected variable cash receipts. The variable cash receipts are based on an expectation of interest rates (forward curves) derived from observable market interest rate curves. In addition, credit valuation adjustments are incorporated in the fair value to account for potential non-performance risk, including our own non-performance risk and the respective counterparty's non-performance risk. We determined that the significant inputs used to value the Swaps fell within Level 2 of the fair value hierarchy.</w:t>
      </w: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Operating Partnership had receivable balances of $9,156 and $9,225, respectively, from a direct wholly-owned subsidiary of the Company. Additionally, see Note 5 for transactions with our joint 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involved in legal actions arising from the ownership and operation of our industrial properties. In our opinion, any liabilities that may result from such legal actions are not expected to have a materially adverse effect on our consolidated financial position, results of operations or liquidity.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2025, we had outstanding letters of credit and performance bonds in the aggregate amount of $35,857.</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conjunction with the development of industrial properties, we have entered into construction agreements with general contractors for the development of industrial properties. At December 31, 2025, we had six projects under construction, totaling approximately 1.1 million square feet of GLA. The estimated total investment for these projects as of December 31, 2025, is approximately $187,100 (unaudited). Of this amount, approximately $87,000 (unaudited) remains to be funded. There can be no assurance that actual completion costs will not exceed the estimated amounts.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5" w:lineRule="exact"/>
        <w:rPr>
          <w:sz w:val="20"/>
          <w:szCs w:val="20"/>
          <w:color w:val="auto"/>
        </w:rPr>
      </w:pPr>
    </w:p>
    <w:p>
      <w:pPr>
        <w:jc w:val="both"/>
        <w:ind w:firstLine="445"/>
        <w:spacing w:after="0" w:line="276" w:lineRule="auto"/>
        <w:rPr>
          <w:sz w:val="20"/>
          <w:szCs w:val="20"/>
          <w:color w:val="auto"/>
        </w:rPr>
      </w:pPr>
      <w:r>
        <w:rPr>
          <w:rFonts w:ascii="Times New Roman" w:cs="Times New Roman" w:eastAsia="Times New Roman" w:hAnsi="Times New Roman"/>
          <w:sz w:val="17"/>
          <w:szCs w:val="17"/>
          <w:color w:val="auto"/>
        </w:rPr>
        <w:t>On January 22, 2026, we refinanced the 2022 Unsecured Term Loan to, among other things, extend its maturity date to January 2030 (with our option to extend the maturity date of the loan by one year) and eliminate the 10 basis point SOFR adjustment. We also refinanced the 2022 Unsecured Term Loan</w:t>
      </w:r>
    </w:p>
    <w:p>
      <w:pPr>
        <w:spacing w:after="0" w:line="1" w:lineRule="exact"/>
        <w:rPr>
          <w:sz w:val="20"/>
          <w:szCs w:val="20"/>
          <w:color w:val="auto"/>
        </w:rPr>
      </w:pPr>
    </w:p>
    <w:p>
      <w:pPr>
        <w:jc w:val="both"/>
        <w:ind w:firstLine="8"/>
        <w:spacing w:after="0" w:line="255" w:lineRule="auto"/>
        <w:tabs>
          <w:tab w:leader="none" w:pos="1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among other things, extend its maturity date to January 2029 (with our option to extend the maturity date two years via two one-year extension options), increase the principal amount of the loan to $375,000 and eliminate the 10 basis point SOFR adjustment. In conjunction with these refinancings, we also amended the 2025 Unsecured Term Loan to, among other things, eliminate the 10 basis point SOFR adjustment.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w w:val="97"/>
              </w:rPr>
              <w:t>Gross Amount Carried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(b)</w:t>
            </w: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17"/>
              <w:spacing w:after="0" w:line="128" w:lineRule="exact"/>
              <w:rPr>
                <w:sz w:val="20"/>
                <w:szCs w:val="20"/>
                <w:color w:val="auto"/>
              </w:rPr>
            </w:pPr>
            <w:r>
              <w:rPr>
                <w:rFonts w:ascii="Times New Roman" w:cs="Times New Roman" w:eastAsia="Times New Roman" w:hAnsi="Times New Roman"/>
                <w:sz w:val="13"/>
                <w:szCs w:val="13"/>
                <w:b w:val="1"/>
                <w:bCs w:val="1"/>
                <w:color w:val="auto"/>
                <w:w w:val="92"/>
              </w:rPr>
              <w:t>Costs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6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 or</w:t>
            </w:r>
          </w:p>
        </w:tc>
        <w:tc>
          <w:tcPr>
            <w:tcW w:w="160" w:type="dxa"/>
            <w:vAlign w:val="bottom"/>
          </w:tcPr>
          <w:p>
            <w:pPr>
              <w:spacing w:after="0"/>
              <w:rPr>
                <w:sz w:val="11"/>
                <w:szCs w:val="11"/>
                <w:color w:val="auto"/>
              </w:rPr>
            </w:pPr>
          </w:p>
        </w:tc>
        <w:tc>
          <w:tcPr>
            <w:tcW w:w="6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Buildings and</w:t>
            </w:r>
          </w:p>
        </w:tc>
        <w:tc>
          <w:tcPr>
            <w:tcW w:w="260" w:type="dxa"/>
            <w:vAlign w:val="bottom"/>
          </w:tcPr>
          <w:p>
            <w:pPr>
              <w:spacing w:after="0"/>
              <w:rPr>
                <w:sz w:val="11"/>
                <w:szCs w:val="11"/>
                <w:color w:val="auto"/>
              </w:rPr>
            </w:pP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620" w:type="dxa"/>
            <w:vAlign w:val="bottom"/>
            <w:vMerge w:val="continue"/>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180" w:type="dxa"/>
            <w:vAlign w:val="bottom"/>
          </w:tcPr>
          <w:p>
            <w:pPr>
              <w:spacing w:after="0"/>
              <w:rPr>
                <w:sz w:val="14"/>
                <w:szCs w:val="14"/>
                <w:color w:val="auto"/>
              </w:rPr>
            </w:pPr>
          </w:p>
        </w:tc>
        <w:tc>
          <w:tcPr>
            <w:tcW w:w="8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Completion</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1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2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3"/>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Atlanta</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1650 Highway 155</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McDonough, GA</w:t>
            </w:r>
          </w:p>
        </w:tc>
        <w:tc>
          <w:tcPr>
            <w:tcW w:w="3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779</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(875)</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345</w:t>
            </w: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4,103</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4051</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Southmeadow Parkway</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726</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2,485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726</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6,615</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4071</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Southmeadow Parkway</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750</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2,270</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828</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6,652</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4081</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Southmeadow Parkway</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1,012</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5,918</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2,428</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1,157</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8,201</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5570</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Tulane Drive</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527</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1,420</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546</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4,385</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955 Cobb Place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Kennesaw,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780</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1,183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804</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5,579</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Sigman Road</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Conyers,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566</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1,398</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574</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4,524</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2050</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 Park Drive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Conyers,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452</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1,057</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459</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3,554</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3060</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 Park Boulevard</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Ellenwood,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1,600</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12,464</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2,261</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1,604</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14,721</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175 Greenwood Industrial Parkway</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McDonough,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1,550</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8,660</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1,550</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8,660</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5095</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Phillip Lee Drive</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735</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836</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740</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4,458</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6514</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Warren Drive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Norcross,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510</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196</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513</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1,443</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6544</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Warren Drive</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Norcross,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711</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662</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715</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2,968</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5356</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 Ponce De Leon Avenue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Stone Mountain,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604</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811</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610</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4,693</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5390</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 Ponce De Leon Avenue</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Stone Mountain,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397</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338</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402</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2,124</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1755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Enterprise Drive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Buford,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712</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197</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716</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2,311</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4555</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Atwater Court</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Buford,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881</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829</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885</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4,375</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 Liberty Industrial Parkway</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McDonough,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756</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(404)</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467</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3,580</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596 Bonnie Valentine Way</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Pendergrass,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2,580</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21,730</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2,384</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2,594</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24,100</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5055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Oakley Industrial Boulevard</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Fairburn,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8,514</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166</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8,680</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11415 Old Roswell Road</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Alpharetta,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2,403</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448</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2,428</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2,335</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1281 Highway 155 S.</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McDonough, GA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2,501</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17,232</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2,502</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17,231</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4955</w:t>
            </w: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Oakley Industrial Boulevard</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Fairburn, GA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3,650</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34,386</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3,661</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34,375</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38,036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Baltimore/Washington D.C.</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16522 Hunters Green Parkway</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Hagerstown, MD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1,390</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13,104</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9,307</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1,863</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21,938</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22520 Randolph Drive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Dulles, VA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3,200</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8,187</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188</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3,208</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8,367</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22630 Dulles Summit Court</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Dulles, VA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2,200</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9,346</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1,656</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2,206</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10,996</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11204 McCormick Road</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Hunt Valley, MD</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1,017</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1,038</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3,430</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11110 Pepper Road</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Hunt Valley, MD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918</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1,358</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938</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3,867</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10709 Gilroy Road</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Hunt Valley, MD</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913</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913</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2,880</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10707 Gilroy Road</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Hunt Valley, MD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1,111</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18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1,136</w:t>
            </w:r>
          </w:p>
        </w:tc>
        <w:tc>
          <w:tcPr>
            <w:tcW w:w="32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3,793</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38 Loveton Circle</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Sparks, MD</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1,648</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560</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1,690</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2,669</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tbl>
      <w:tblPr>
        <w:tblLayout w:type="fixed"/>
        <w:tblInd w:w="0" w:type="dxa"/>
        <w:tblCellMar>
          <w:top w:w="0" w:type="dxa"/>
          <w:left w:w="0" w:type="dxa"/>
          <w:bottom w:w="0" w:type="dxa"/>
          <w:right w:w="0" w:type="dxa"/>
        </w:tblCellMar>
      </w:tblPr>
      <w:tr>
        <w:trPr>
          <w:trHeight w:val="142"/>
        </w:trPr>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line="143" w:lineRule="exact"/>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20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20" w:type="dxa"/>
            <w:vAlign w:val="bottom"/>
            <w:gridSpan w:val="4"/>
            <w:vMerge w:val="continue"/>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1225</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Bengies Road</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Baltimore, MD</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12,566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2,823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12,653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w:t>
            </w: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Tyson Drive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Winchester, VA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11,126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2,401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11,045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400</w:t>
            </w: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Old Post Road</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Aberdeen, MD</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4,391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3,411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21,535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500</w:t>
            </w: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Old Post Road</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Aberdeen, MD</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8,289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3,281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8,284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33,819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42,103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5300</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&amp; 5315 Nottingham Drive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White Marsh, MD</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20,599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12,081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61,601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16,189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5301</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Nottingham Drive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White Marsh, MD</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4,952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2,471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4,978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14,956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2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9211 Old Pike Way</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Upper Marlboro, MD</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16,029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71"/>
        </w:trPr>
        <w:tc>
          <w:tcPr>
            <w:tcW w:w="21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Central/Eastern Pennsylvania</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401</w:t>
            </w: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Russell Drive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Middletown,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2,155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2,987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2700</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Commerce Drive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Middletown,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903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1,890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2701</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Commerce Drive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Middletown,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1,415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2,251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2780</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Commerce Drive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Middletown,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1,247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1,894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81"/>
        </w:trPr>
        <w:tc>
          <w:tcPr>
            <w:tcW w:w="2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14 McFadden Road</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Palmer,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1,019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431</w:t>
            </w: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Railroad Avenue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Shiremanstown,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3,243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1,341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10,359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2801</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Red Lion Road</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6,308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200</w:t>
            </w: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Cascade Drive, Bldg. 1</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Allentown,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3,763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2,769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20,689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w:t>
            </w: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Cascade Drive, Bldg. 2</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Allentown,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2,416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1490</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Dennison Circle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Carlisle,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14,381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2,341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13,540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298</w:t>
            </w: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Avenue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Gouldsboro,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66,849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7,019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66,852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25,152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225</w:t>
            </w: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Cross Farm Lane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York,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4,718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25,361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4,715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25,364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2455</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Boulevard of Generals</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Norristown,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1,226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5,118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Steamboat Boulevard</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Manchester,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4,085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14,464</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(1,415)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4,070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13,064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0" w:type="dxa"/>
            <w:vAlign w:val="bottom"/>
          </w:tcPr>
          <w:p>
            <w:pPr>
              <w:spacing w:after="0"/>
              <w:rPr>
                <w:sz w:val="1"/>
                <w:szCs w:val="1"/>
                <w:color w:val="auto"/>
              </w:rPr>
            </w:pPr>
          </w:p>
        </w:tc>
      </w:tr>
      <w:tr>
        <w:trPr>
          <w:trHeight w:val="181"/>
        </w:trPr>
        <w:tc>
          <w:tcPr>
            <w:tcW w:w="2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 Leo Lane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York County,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6,884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29,454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6,889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29,449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3895</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Eastgate Boulevard, Bldg A</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Easton,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18,960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4,388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19,427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3895</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Eastgate Boulevard, Bldg B</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Easton,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12,853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3,128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13,184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21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112 Bordnersville Road</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Jonestown,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13,702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41,479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13,723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41,458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122</w:t>
            </w: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Bordnersville Road</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Jonestown,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14,787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3,171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14,781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2021</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Woodhaven Road</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2,059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9,936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2,087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9,908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1960</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Weaversville Road</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Allentown,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12,381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12,381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2771</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 Market Street</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Elizabethtown, PA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50,789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72,539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50,789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72,539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123,328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2701</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 Market Street</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Elizabethtown, PA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32,706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58,680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32,706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58,680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64"/>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4145</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Philadelphia Pike</w:t>
            </w: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Claymont, DE</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12,009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53,004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12,016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53,846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65,862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4"/>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Chicago</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1385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101st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Lemont,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2,299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968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7,852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2300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Windsor Court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Addison,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958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4,893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1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Business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Mount Prospect,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3,766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580</w:t>
            </w:r>
          </w:p>
        </w:tc>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Slawin Court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Mount Prospect,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1,283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1005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101st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Lemont,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1,538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8,161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175</w:t>
            </w:r>
          </w:p>
        </w:tc>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Wall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Heights,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1,020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3,377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251</w:t>
            </w:r>
          </w:p>
        </w:tc>
        <w:tc>
          <w:tcPr>
            <w:tcW w:w="1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Airport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 Aurora,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983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6,936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983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6,936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400</w:t>
            </w:r>
          </w:p>
        </w:tc>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Crossroads Parkway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Bolingbrook,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5,686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1,181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15,136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7801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Industrial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Forest Park,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1,562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4,577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725</w:t>
            </w:r>
          </w:p>
        </w:tc>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Kimberly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Carol Stream,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1,792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2900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166th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Markham,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1,132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4,293</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(1,288)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1,134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3,003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555</w:t>
            </w:r>
          </w:p>
        </w:tc>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 Algonquin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Arlington Heights,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2,326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3,062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1501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Oakton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Elk Grove Village,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3,369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3,482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6,210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16500 W. 103rd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Woodridge,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957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762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3,397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8505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50th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Kenosha, WI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4,296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36,160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4,296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36,160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40,456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4100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Rock Creek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Joliet,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4,476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16,061</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(1,413)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4,476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14,648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10100 58th Place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Kenosha, WI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4,201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17,604</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(1,114)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4,201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16,490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401</w:t>
            </w:r>
          </w:p>
        </w:tc>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Airport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 Aurora,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1,863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3737</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84th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Somers, WI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1,943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24,332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1,943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24,332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26,275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81"/>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81 Paragon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Romeoville,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218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1,788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7,469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10680 88th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Pleasant Prairie, WI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4,757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8725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31st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Somers, WI</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26,113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2,134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26,112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3500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Channahon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Joliet, IL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16,767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2,598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16,764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1998</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Melissa Lane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Aurora, IL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2,400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10,133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8630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31st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Somers, WI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1,784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36,633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1,784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36,633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38,417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Cincinnati</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4436</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Muhlhauser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Hamilton, OH</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6,140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6,140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81"/>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4438</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Muhlhauser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Hamilton, OH</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7,537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7,537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64"/>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9525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Glades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Westchester, OH</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1,640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Dallas/Ft. Worth</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2406-2416 Walnut Ridge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1,186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2,198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2401-2419 Walnut Ridge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505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22"/>
        </w:trPr>
        <w:tc>
          <w:tcPr>
            <w:tcW w:w="21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900-906 N. Great Southwest</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Parkway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3000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Commerce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1,239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3,810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816 111th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1,922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1602-1654 Terre Colony Court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1,044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3,630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2220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Merritt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491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2,520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2485-2505 Merritt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2,923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2110 Hutton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Carrolton,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2,071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McKenzie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Carrolton,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772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3,245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2019</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McKenzie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Carrolton,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1,082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3,920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2029-2035 McKenzie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Carrolton,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862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2,732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2015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McKenzie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Carrolton,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778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3,663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2009</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McKenzie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Carrolton,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476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891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3,585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900-1100 Avenue S</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1,376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4,898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Plano Crossing Business Park</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Plano,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1,961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2,590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1,981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13,682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825-827 Avenue H</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3,006</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1,499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4,501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1013-31 Avenue M</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1,827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1172-84 113th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3,595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1200-16 Avenue H</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800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3,642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1322-66 W. North Carrier Parkway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1,345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6,351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2401-2407 Centennial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3,442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3111 W. Commerce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1,136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4,489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13800 Senlac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Farmers Branch,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825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3,897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22"/>
        </w:trPr>
        <w:tc>
          <w:tcPr>
            <w:tcW w:w="21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801-831 S. Great Southwest</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Parkway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16,556</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2,775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2,586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19,326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3"/>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801 Heinz 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669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3,994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901-937 Heinz 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Grand Prairie,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1,305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4,075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3301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Century Circle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Irving,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3,775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3901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Miller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15,699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1,947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15,664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1251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 Cockrell Hill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15,175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1,073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16,166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1171 N. Cockrell Hill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11,243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11,826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3996</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Scientific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7,380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7,332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64"/>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750 Gateway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Coppell,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1,452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1,452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4,523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2250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 Bardin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1,603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10,161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1,603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10,161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Midway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Lewisville,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13,118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3,963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13,118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Midway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Lewisville,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2,243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7,188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2,243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7,188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5300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Mountain Creek</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4,675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48,528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4,779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48,424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3700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Sandshell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Fort Worth,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9,548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1,901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9,539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1901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Midway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Lewisville,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7,519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24,452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7,514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24,457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Midway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Lewisville,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14,226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1,421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14,158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2075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Midway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Lewisville,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2,785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17,210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2,841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17,154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Denver</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4785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Elati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1,615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4770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Fox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1,065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3851-3871 Revere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2,380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4570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Ivy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1,647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5855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Stapleton Drive North</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1,972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5885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Stapleton Drive North</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2,416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5977</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 Broadway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2,356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5952-5978 N. Broadway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896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3,234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4721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Ironton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1,744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3,053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7003</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 47th Ave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511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3,200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9500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49th Street, Bldg A</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Wheatridge,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1,805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9500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49th Street, Bldg B</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Wheatridge,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1,478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9500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49th Street, Bldg C</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Wheatridge,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3,606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9500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49th Street, Bldg 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Wheatridge,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1,637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11701 E. 53rd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2,526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5401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Oswego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1,762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445 Bryant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1,829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4,101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1,829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14,320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12055 E. 49th Avenue/4955 Peoria</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2,268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4940-4950 Paris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1,097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7367</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 Revere Parkway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Centennial,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1,199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6,315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8020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Southpark Circle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Littleton,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4,203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4,161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8810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116th Circle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Broomfield,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1,642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8820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116th Circle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Broomfield,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2,258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8835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116th Circle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Broomfield,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2,638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1,304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9,008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64"/>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18150 E. 32nd Place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831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4,010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3400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Fraser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3,991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7005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 46th Avenue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367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2,387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4001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Salazar 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Frederick,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7,086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5909-5915 N. Broadway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1,862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1815-1957 South 4650 West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Salt Lake City, UT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10,873</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1,713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10,674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21301 E. 33rd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8,202</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2,859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8,179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21110 E. 31st Circle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7,107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22300 E. 26th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39,473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4,890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39,464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44,354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3350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Odessa 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4,796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22600 E. 26th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1,501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44,299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1,483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44,317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8000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 96th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Henderson, CO</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24,041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7,086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24,444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Detroit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12874 Westmore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Livonia, MI</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980 Chicago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Troy, MI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1,472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5500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Enterprise Court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Warren, MI</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1,269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721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4,960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4872</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Lapeer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Lake Orion Twsp, MI</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1,342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1,412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6,610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42555 Merrill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Sterling Heights, MI</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3,636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1,090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5,926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3351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Rauch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695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2,230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3801-3851 Yale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1,596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3,927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3337-3347 Rauch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681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1,962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8505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 Loop East Freeway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1,143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3,622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4851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Homestead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2,236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5,005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3365-3385 Rauch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787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2,392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5050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Campbell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1,886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470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4,487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4300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Pine Timbers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1,436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4,195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2500-2530 Fairway Park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2,701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7,017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6550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 Point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1,029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3,071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1815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Turning Basin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3,424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6,141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1819</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Turning Basin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1,749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3,037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1805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Turning Basin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3,265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6,410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11505 State Highway 225</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LaPorte City,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4,934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1500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 Main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LaPorte City,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64"/>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7230-7238 Wynnwood Lane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1,045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7240-7248 Wynnwood Lane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476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1,197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7250-7260 Wynnwood Lane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1,469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1,947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6400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 Point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250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1,148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4526 N. Sam Houston Parkway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5,307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5,386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7967</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Blankenship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1,327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4800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Greens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11,261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3,312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11,299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611 E. Sam Houston Parkway S.</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Pasadena,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255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2,013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7,643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619 E. Sam Houston Parkway S.</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Pasadena,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2,879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2,876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11,921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6913</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Guhn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7,480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1,367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7,480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607 E. Sam Houston Parkway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Pasedena,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2,076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2,076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11,774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615 E. Sam Houston Parkway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Pasedena,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4,265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12,363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2737</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Grand Parkway N.</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Katy,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11,865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3,419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11,438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2747</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Grand Parkway N.</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Katy,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13,325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2,885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13,325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603 E. Sam Houston Parkway S.</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Pasadena,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1,727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5,526</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1,727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5,499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4434</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FM 1405</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Baytown,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5,871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4323</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Oscar Nelson Jr.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Baytown,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5,468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4444</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FM 1405</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Baytown,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5,852</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5,781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4343</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Oscar Nelson Jr.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Baytown, TX</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5,746</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5,777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8251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Liberty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33,592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5,844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33,818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39,662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Miami</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4700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15th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2,205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4710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15th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830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834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3,067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4720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15th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942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2,868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4740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15th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1,107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3,414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4750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15th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1,174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4,249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4800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15th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1,097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3,506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6891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74th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5,487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8,908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1351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78th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Doral,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3,111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4,634</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3,111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4,525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2500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19th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Pompano Beach,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3,049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6,213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14,166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6301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Lyons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Coconut Creek,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5,703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10,075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5,714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10,064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1501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64th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9,613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9,613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6499 NW 12th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14,568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14,568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6320 NW 12th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Fort Lauderdale,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11,740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11,740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line="143" w:lineRule="exact"/>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8801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87th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15,052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24,654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14,982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24,724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9001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87th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7,737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12,682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7,682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12,737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8404</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90th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11,606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18,149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11,588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18,167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1200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15th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Pompano Beach,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8,771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11,422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8,788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11,405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5301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Copans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Margate,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8,679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14,378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8,697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14,360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11601 NW 107th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10,131</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9,112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10,001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19,113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8201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87th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12,669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26,779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12,679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26,769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8406</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90th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11,458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23,524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11,463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23,519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8400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90th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3,262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10,791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3,263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10,790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8200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88th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7,849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21,530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7,852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21,527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8901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NW 87th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11,179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30,512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11,239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31,352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2551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 19th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Pompano Beach,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2,611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10,239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2,611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10,782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Minneapolis/St. Paul</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5775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12th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Shakopee, MN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5,970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5,970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1157 Valley Park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Shakopee, MN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7,889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888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7,761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1087</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Park Place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Shakopee, MN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5,447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5391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12th Avenue SE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Shakopee, MN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2,067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10,213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4701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Valley Industrial Boulevard S.</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Shakopee, MN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7,567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7035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Winnetka Avenue North</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Brooklyn Park, MN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6,819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6,751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139 Eva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 Paul, MN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2,132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2,175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3,536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21900 Dodd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Lakeville, MN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2,847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2,289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10,799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375 Rivertown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Woodbury, MN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2,635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914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2,635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9,071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935 Aldrin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Eagan, MN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641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8,525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7050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Winnetka Avenue North</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Brooklyn Park, MN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7,415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1,634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7,404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7051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Broadway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Brooklyn Park, MN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5,829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5,825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Nashville</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1931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Air Lane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1,226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4,007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4640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Cummings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751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2,786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1740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River Hills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2,387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888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6,730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211 Ellery Court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3,375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130 Maddox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Mt. Juliet, TN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24,287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24,287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1281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Couchville Pike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Mt. Juliet, TN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2,620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50,973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52,298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400 Maddox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Mt. Juliet, TN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28,101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31,171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800 Maddox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Mt. Juliet, TN</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3,840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43,464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3,840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43,464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 Maddox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Mt. Juliet, TN</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27,438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27,438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1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New Jersey</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14 World's Fair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Franklin,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1,228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3,943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 World's Fair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Franklin,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1,327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4,546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22 World's Fair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Franklin,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535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2,588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26 World's Fair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Franklin,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708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2,740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24 World's Fair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Franklin,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661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2,614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 World's Fair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Somerset,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2,874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691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2,192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 Hook Mountain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Pine Brook,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1,507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1,918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1,534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10,433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 Hook Mountain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Pine Brook,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854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3,053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2500 Main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Sayreville,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5,325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5,325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2400 Main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Sayreville,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6,096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6,096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7851 Airport Highway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Pennsauken,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829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1,335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309-313 Pierce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Somerset,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788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1,309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5,407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Florence Township,</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400 Cedar Lane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NJ</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9,730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26,223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9,730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26,223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35,953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8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301 Bordentown-Hedding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Bordentown,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3,983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15,881</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3,984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15,627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302 Bordentown-Hedding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Bordentown,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2,738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522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2,738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8,712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304 Bordentown-Hedding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Bordentown, NJ</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3,684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7,954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3,688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7,950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445 Rising Sun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Bordentown, NJ</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8,578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20,766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8,578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21,526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Northern California</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8649 Kiefer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Sacramento,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4,376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4,433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18501 W. Stanford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Tracy,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12,966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13,160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27403 Industrial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Hayward,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3,440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3,440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2,081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4160-4170 Business Center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Fremont,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4,897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820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4,897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4200 Business Center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Fremont,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442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5,158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4,225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22950 Clawiter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Hayward,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2,251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3,312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4,274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42650 Osgood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Fremont,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4,183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4,183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4,303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2085 Burroughs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Leandro,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8,186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211 Parr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Richmond,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6,478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6,478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24200 Clawiter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Hayward,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11,446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11,449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3,740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14951 Catalina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Leandro,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4,690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4,673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3,845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24101 Whitesell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Hayward,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12,543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7,195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12,542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6201 S. Newcastle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Stockton,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7,654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101,352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5,865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103,141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109,006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415 Aldo Avenue &amp; 420 Nelo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Clara,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9,999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9,986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line="143" w:lineRule="exact"/>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Orlando</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6301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Hazeltine National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909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5,551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6005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24th Street East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Bradenton,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6,377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6,434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8751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Skinner Court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1,691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1,692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7,356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4473</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Shader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2,094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10,501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550 Gills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1,321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6,176</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1,321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6,272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450 Gills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1,031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6,485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4401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Shader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1,037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7,116</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1,037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7,027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 Gills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5,288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2234</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Taft Vineland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1,748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1,750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9,940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1301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Flora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Kissimmee,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9,638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2,414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9,103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1401-1419 Flora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Kissimmee,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1,895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8,171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2,454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7,630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1629</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Flora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Kissimmee,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9,408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2,548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8,847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1701-1737 Flora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Kissimmee, FL</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2,685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11,266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3,476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10,500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5711 N. Pine Hills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Orlando, FL</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15,031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2,206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15,031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Phoenix</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1045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 Edward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Tempe,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951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3,105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50 S. 56th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Chandler,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856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1,252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4,028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245 W. Lodge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Tempe,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(2,072)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1,530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1590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 Riverview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1,659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7,610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14131 N. Rio Vista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Peoria,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536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2,563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9,924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8716</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Ludlow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Peoria,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2,709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2,709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11,985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3815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Washington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1,719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4,318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9180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Buckeye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Tolleson,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3,101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1,923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9,887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8644</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Ludlow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Peoria,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1,726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6,626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8606</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 Ludlow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Peoria,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956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956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2,486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8679</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Ludlow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Peoria,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2,400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94th Avenue &amp; Buckeye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Tolleson,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4,315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16,685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4,315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16,685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16560 W. Sells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Goodyear,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31,423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6,271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31,411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16951 W. Camelback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Goodyear,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1,805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5,376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1,805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5,376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3600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 Cotton Lane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Goodyear,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43,128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5,659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43,129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3350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 Cotton Lane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Goodyear,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31,198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2,817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6,373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34,015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40,388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PV 303</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Goodyear,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3,922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12,408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5,926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4580</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 Pebble Creek Parkway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Goodyear,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8,714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59,457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8,777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59,394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68,171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5101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 Cotton Lane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Litchfield Park,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9,917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9,917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42,609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5301</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 Cotton Lane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Litchfield Park, AZ</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8,868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8,868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46,002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54,870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5501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 Cotton Lane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Litchfield Park, AZ</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20,870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20,870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94,408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3"/>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Seattle</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1901 Raymond Avenue SW</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Renton, WA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4,458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2,659</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951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4,594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3,474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19014 64th Avenue South</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Kent, WA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613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2,042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4,540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18640 68th Avenue South</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Kent, WA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1,258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2,170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621 37th Street NW</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Auburn, WA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6,403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6,507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6407</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210th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Kent, WA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1,737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1,737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3,416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1402</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Puyallup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Sumner, WA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679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3,766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5,136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22718 58th Place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Kent, WA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1,446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1,447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2,516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14302 24th Street East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Sumner, WA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2,643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10,076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2,643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10,076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1508</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Valentine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Pacific, WA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18,790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18,786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3,110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10920 Steele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Lakewood, WA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18,507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6,706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18,523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20320 80th Avenue South</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Kent, WA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4,136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4,132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1,212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Southern California</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1944</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Vista Bella Way</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1,746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971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1,822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4,043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29"/>
        </w:trPr>
        <w:tc>
          <w:tcPr>
            <w:tcW w:w="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2000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Vista Bella Way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2,135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2835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East Ana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1,682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721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1,772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3,381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0" w:type="dxa"/>
            <w:vAlign w:val="bottom"/>
          </w:tcPr>
          <w:p>
            <w:pPr>
              <w:spacing w:after="0"/>
              <w:rPr>
                <w:sz w:val="1"/>
                <w:szCs w:val="1"/>
                <w:color w:val="auto"/>
              </w:rPr>
            </w:pPr>
          </w:p>
        </w:tc>
      </w:tr>
      <w:tr>
        <w:trPr>
          <w:trHeight w:val="183"/>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665 N. Baldwin Park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of Industry,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3,104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2,143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8,304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27801 Avenue Scott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Santa Clarita,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2,890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1,145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2,902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8,153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2610</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&amp; 2660 Columbia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Torrance,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1,998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3,031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7,801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433 Alaska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Torrance,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861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1,026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2325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Camino Vida Roble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2,128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3,362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2335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Camino Vida Roble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929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2345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Camino Vida Roble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536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989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2355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Camino Vida Roble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590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2365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Camino Vida Roble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1,102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780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2375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Camino Vida Roble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1,031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6451</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El Camino Real</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1,139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2,895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3,060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r>
        <w:trPr>
          <w:trHeight w:val="170"/>
        </w:trPr>
        <w:tc>
          <w:tcPr>
            <w:tcW w:w="21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13100 Gregg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Poway,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1,040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660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1,073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4,787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21730-21748 Marilla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Chatsworth,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550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2,608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3,737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8015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Paramount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Pico Rivera,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3,616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(893)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3,657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2,968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3365</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 Slauson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Vernon,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(862)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2,396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2,352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3015</w:t>
            </w: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East Ana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19,678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9,321</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17,588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20,144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26,443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46,587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4"/>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1250</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Rancho Conejo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Thousand Oaks,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876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1260</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Rancho Conejo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Thousand Oaks,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1,353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(599)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675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801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1270</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Rancho Conejo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Thousand Oaks,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1,229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709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777 190th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Gardena,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13,533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4,327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13,534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4,326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14050</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Day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2,565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2,879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12925</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Marlay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6,072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6,090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7,829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18201-18291 Santa Fe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9,132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6,897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8,955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1011 Rancho Conejo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Thousand Oaks,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7,717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7,752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2,282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20700</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Denker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Torrance,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5,964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3,346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18408</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Laurel Park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tcPr>
          <w:p>
            <w:pPr>
              <w:spacing w:after="0"/>
              <w:rPr>
                <w:sz w:val="15"/>
                <w:szCs w:val="15"/>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1,210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2,874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4,036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84"/>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2175</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Cactus Road East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5,958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8,720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6,025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8,653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2175 Cactus Road West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10,373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153</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10,526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19021</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 Reyes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8,183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557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8,545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7,696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24870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Nandina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13,543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23,708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6,482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30,768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6185</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Kimball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Chino,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10,993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6,382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10,997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5553</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Bandini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Bell,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32,536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21,521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32,540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21,517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16875</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Heacock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1,901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8,732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4710</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Guasti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Ontario,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2,846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521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2,846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7,085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17100</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Perris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25,801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6,395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25,794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13414</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 Figueroa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6,618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1,887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6,432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3841</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Ocean Ranch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Oceanside,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6,713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4,400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6,713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3831</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Ocean Ranch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Oceanside,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3,874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2,694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3,873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3821</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Ocean Ranch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Oceanside,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3,881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2,792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3,881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145 W. 134th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2,901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2,901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2,310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6150</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Sycamore Canyon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Riverside,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10,643</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(608)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3,182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10,035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17825</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5,034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22,095</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5,034</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21,845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24901</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Michele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11,583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1,274</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11,583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1445</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Engineer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Vista,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6,816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1,212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6,816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5,629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19067</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Reyes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9,281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3,811</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9,381</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7,631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10586</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Tamarind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4,275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4,275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8,279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2777</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Loker Avenue West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13,267</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358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7,599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13,625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7105</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Old 215 Frontage Road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Riverside, CA</w:t>
            </w:r>
          </w:p>
        </w:tc>
        <w:tc>
          <w:tcPr>
            <w:tcW w:w="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12,294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4,900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12,294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28545</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Livingston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Valencia,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3,160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9,813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14,114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2"/>
          </w:tcPr>
          <w:p>
            <w:pPr>
              <w:jc w:val="center"/>
              <w:ind w:left="45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5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1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1"/>
                <w:szCs w:val="11"/>
                <w:color w:val="auto"/>
              </w:rPr>
            </w:pPr>
          </w:p>
        </w:tc>
        <w:tc>
          <w:tcPr>
            <w:tcW w:w="960" w:type="dxa"/>
            <w:vAlign w:val="bottom"/>
          </w:tcPr>
          <w:p>
            <w:pPr>
              <w:jc w:val="right"/>
              <w:ind w:right="397"/>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7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Buildings and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7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5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40" w:type="dxa"/>
            <w:vAlign w:val="bottom"/>
            <w:gridSpan w:val="4"/>
            <w:vMerge w:val="continue"/>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Encumbrances</w:t>
            </w:r>
          </w:p>
        </w:tc>
        <w:tc>
          <w:tcPr>
            <w:tcW w:w="7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780" w:type="dxa"/>
            <w:vAlign w:val="bottom"/>
            <w:vMerge w:val="continue"/>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20" w:type="dxa"/>
            <w:vAlign w:val="bottom"/>
            <w:vMerge w:val="continue"/>
          </w:tcPr>
          <w:p>
            <w:pPr>
              <w:spacing w:after="0"/>
              <w:rPr>
                <w:sz w:val="14"/>
                <w:szCs w:val="14"/>
                <w:color w:val="auto"/>
              </w:rPr>
            </w:pP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3801</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Ocean Ranch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Oceanside, CA</w:t>
            </w:r>
          </w:p>
        </w:tc>
        <w:tc>
          <w:tcPr>
            <w:tcW w:w="10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2,425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6,151</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2,909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6,338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3809</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Ocean Ranch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Oceanside, CA</w:t>
            </w:r>
          </w:p>
        </w:tc>
        <w:tc>
          <w:tcPr>
            <w:tcW w:w="10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2,677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3,140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3,141</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7,064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3817</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Ocean Ranch Boulevard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Oceanside, CA</w:t>
            </w:r>
          </w:p>
        </w:tc>
        <w:tc>
          <w:tcPr>
            <w:tcW w:w="10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4,193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10,278</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273</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5,442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10,547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24385</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Nandina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17,023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63,296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17,066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63,253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14999</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Eastvale,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2,947</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1,508</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2,947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14969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Summit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Eastvale,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3,847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9,274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3,847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9,274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14939</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Eastvale,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8,280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3,107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8,280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14909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Summit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Eastvale,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7,099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17,994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7,099</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17,994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14940</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Drive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Eastvale,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13,208</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5,423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13,208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14910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Summit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Eastvale,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5,331</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1,873</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5,331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81"/>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930 Columbia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Riverside,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1,810</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4,203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305 Sequoia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Ontario,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6,641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8,155</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6,640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8,205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3051</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 Maria Street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1,578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1709-1811 W. Mahalo Place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Compton,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2,132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2,130</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1,943</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1964</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Kellogg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344</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3,836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3,868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353 Perry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Perris,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1,780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18,946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1,788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18,938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8572</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Spectrum Lane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1,029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4,254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70"/>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801-817 E. Anaheim Street</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Wilmington,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155</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5,712</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589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10780</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Redwood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23,302</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13,402</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23,310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14518</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Santa Ana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1,745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4,719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1,745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4,719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1"/>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11253 Redwood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3,333</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8,460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24665</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Nandina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Moreno Valley,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4,016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17,078</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4,066</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17,028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Rancho Dominguez,</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19302-19400 S. Laurel Park Road</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12,816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6,239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12,815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7,889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3125</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Wilson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Perris,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4,328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24,256</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4,328</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24,256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680 Columbia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Riverside,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5,117</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936</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5,058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1458</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 Mission Boulevard</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Pomona,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4,813</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1,267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4,817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2755</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 Willow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Rialto,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17,155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(415)</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17,155</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3,843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8410</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Arjons Drive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3,757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3,757</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2,876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7666</w:t>
            </w: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Formula Place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6,909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156</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6,899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3,715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2042</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 Grove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Ontario,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15,358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15,355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444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13484</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Colombard Court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2,390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11,339</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3,050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0"/>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15551</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Boyle Avenue</w:t>
            </w: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5,405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14,162</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5,405</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14,162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1"/>
        </w:trPr>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27426</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Pioneer Avenue</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Redlands, CA</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26,470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46,810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26,367</w:t>
            </w:r>
          </w:p>
        </w:tc>
        <w:tc>
          <w:tcPr>
            <w:tcW w:w="12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47,455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III: REAL ESTATE AND ACCUMULATED DEPRECIATION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Gross Amount Carried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ind w:left="540"/>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64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At Close of Period 12/31/25</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80" w:type="dxa"/>
            <w:vAlign w:val="bottom"/>
          </w:tcPr>
          <w:p>
            <w:pPr>
              <w:spacing w:after="0"/>
              <w:rPr>
                <w:sz w:val="11"/>
                <w:szCs w:val="11"/>
                <w:color w:val="auto"/>
              </w:rPr>
            </w:pP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Building Address</w:t>
            </w:r>
          </w:p>
        </w:tc>
        <w:tc>
          <w:tcPr>
            <w:tcW w:w="124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22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Land</w:t>
            </w:r>
          </w:p>
        </w:tc>
        <w:tc>
          <w:tcPr>
            <w:tcW w:w="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9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or</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Land</w:t>
            </w:r>
          </w:p>
        </w:tc>
        <w:tc>
          <w:tcPr>
            <w:tcW w:w="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Buildings and</w:t>
            </w:r>
          </w:p>
        </w:tc>
        <w:tc>
          <w:tcPr>
            <w:tcW w:w="18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8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Acquired/</w:t>
            </w:r>
          </w:p>
        </w:tc>
        <w:tc>
          <w:tcPr>
            <w:tcW w:w="0" w:type="dxa"/>
            <w:vAlign w:val="bottom"/>
          </w:tcPr>
          <w:p>
            <w:pPr>
              <w:spacing w:after="0"/>
              <w:rPr>
                <w:sz w:val="1"/>
                <w:szCs w:val="1"/>
                <w:color w:val="auto"/>
              </w:rPr>
            </w:pPr>
          </w:p>
        </w:tc>
      </w:tr>
      <w:tr>
        <w:trPr>
          <w:trHeight w:val="171"/>
        </w:trPr>
        <w:tc>
          <w:tcPr>
            <w:tcW w:w="2100" w:type="dxa"/>
            <w:vAlign w:val="bottom"/>
            <w:gridSpan w:val="2"/>
            <w:vMerge w:val="continue"/>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(City/State)</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Encumbrances</w:t>
            </w:r>
          </w:p>
        </w:tc>
        <w:tc>
          <w:tcPr>
            <w:tcW w:w="860" w:type="dxa"/>
            <w:vAlign w:val="bottom"/>
            <w:gridSpan w:val="2"/>
            <w:vMerge w:val="continue"/>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Completion</w:t>
            </w:r>
          </w:p>
        </w:tc>
        <w:tc>
          <w:tcPr>
            <w:tcW w:w="880" w:type="dxa"/>
            <w:vAlign w:val="bottom"/>
            <w:gridSpan w:val="2"/>
            <w:vMerge w:val="continue"/>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12/31/2025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69"/>
        </w:trPr>
        <w:tc>
          <w:tcPr>
            <w:tcW w:w="1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13769 Arrow Route</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Fontana, CA</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1250 E. Francis Street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Ontario, CA</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5,979</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13351 12th Street</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Chino, CA</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3870 Seville Avenue</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Vernon, CA</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473 E. Rider Street</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Perris, CA</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7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4742 Redlands Avenue</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Perris, CA</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24,527</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26,615</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3175 Wilson Avenue</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Perris, CA</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71"/>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Developments in Process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Park 33 Building I</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Easton, PA</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 Park 33 Building II</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Easton, PA</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30,207</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Park 121 Building F</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Lewisville, TX</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12,154</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 Park New Castle Building B</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Castle, DE</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21,793</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Park Miami Building 4</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Medley, FL</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12,487</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22"/>
        </w:trPr>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 Arlington Commerce Center</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III</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Arlington, TX</w:t>
            </w:r>
          </w:p>
        </w:tc>
        <w:tc>
          <w:tcPr>
            <w:tcW w:w="2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Land Parcels</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Land Parcels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433,471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119,998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430,197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562,439</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1,881,282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1,556,032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2,930,364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1,872,086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4,495,592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6,367,678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1,191,767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0" w:name="page111"/>
    <w:bookmarkEnd w:id="1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FIRST INDUSTRIAL REALTY TRUST, INC. AND FIRST INDUSTRIAL, L.P. SCHEDULE III: REAL ESTATE AND ACCUMULATED DEPRECIATION As of December 31,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40" w:lineRule="exact"/>
        <w:rPr>
          <w:sz w:val="20"/>
          <w:szCs w:val="20"/>
          <w:color w:val="auto"/>
        </w:rPr>
      </w:pPr>
    </w:p>
    <w:p>
      <w:pPr>
        <w:jc w:val="both"/>
        <w:ind w:left="580" w:hanging="329"/>
        <w:spacing w:after="0" w:line="235" w:lineRule="auto"/>
        <w:tabs>
          <w:tab w:leader="none" w:pos="575"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description of encumbrances in Note 4 to the Consolidated Financial Statements. For purposes of this schedule the total principal balance of a mortgage loan payable that is collateralized by a pool of properties is allocated among the properties in the pool based on each property's carrying balance.</w:t>
      </w:r>
    </w:p>
    <w:p>
      <w:pPr>
        <w:spacing w:after="0" w:line="24" w:lineRule="exact"/>
        <w:rPr>
          <w:rFonts w:ascii="Times New Roman" w:cs="Times New Roman" w:eastAsia="Times New Roman" w:hAnsi="Times New Roman"/>
          <w:sz w:val="23"/>
          <w:szCs w:val="23"/>
          <w:color w:val="auto"/>
          <w:vertAlign w:val="superscript"/>
        </w:rPr>
      </w:pPr>
    </w:p>
    <w:p>
      <w:pPr>
        <w:ind w:left="580" w:hanging="329"/>
        <w:spacing w:after="0" w:line="229" w:lineRule="auto"/>
        <w:tabs>
          <w:tab w:leader="none" w:pos="56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Costs capitalized subsequent to acquisition or completion are net of the write-off of fully depreciated assets and/or valuation provision and include construction in progress.</w:t>
      </w:r>
    </w:p>
    <w:p>
      <w:pPr>
        <w:ind w:left="560" w:hanging="309"/>
        <w:spacing w:after="0" w:line="232" w:lineRule="auto"/>
        <w:tabs>
          <w:tab w:leader="none" w:pos="56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is computed based upon the following estimated lives: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50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7 to 50 years</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55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4 to 25 years</w:t>
            </w:r>
          </w:p>
        </w:tc>
      </w:tr>
      <w:tr>
        <w:trPr>
          <w:trHeight w:val="184"/>
        </w:trPr>
        <w:tc>
          <w:tcPr>
            <w:tcW w:w="57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Tenant Improvements, Leasehold Improvements</w:t>
            </w:r>
          </w:p>
        </w:tc>
        <w:tc>
          <w:tcPr>
            <w:tcW w:w="5500" w:type="dxa"/>
            <w:vAlign w:val="bottom"/>
            <w:shd w:val="clear" w:color="auto" w:fill="CCEEFF"/>
          </w:tcPr>
          <w:p>
            <w:pPr>
              <w:ind w:left="2220"/>
              <w:spacing w:after="0" w:line="184" w:lineRule="exact"/>
              <w:rPr>
                <w:sz w:val="20"/>
                <w:szCs w:val="20"/>
                <w:color w:val="auto"/>
              </w:rPr>
            </w:pPr>
            <w:r>
              <w:rPr>
                <w:rFonts w:ascii="Times New Roman" w:cs="Times New Roman" w:eastAsia="Times New Roman" w:hAnsi="Times New Roman"/>
                <w:sz w:val="18"/>
                <w:szCs w:val="18"/>
                <w:color w:val="auto"/>
              </w:rPr>
              <w:t>Shorter of Useful Life or Terms of Related</w:t>
            </w:r>
          </w:p>
        </w:tc>
      </w:tr>
      <w:tr>
        <w:trPr>
          <w:trHeight w:val="234"/>
        </w:trPr>
        <w:tc>
          <w:tcPr>
            <w:tcW w:w="5740" w:type="dxa"/>
            <w:vAlign w:val="bottom"/>
            <w:shd w:val="clear" w:color="auto" w:fill="CCEEFF"/>
          </w:tcPr>
          <w:p>
            <w:pPr>
              <w:spacing w:after="0"/>
              <w:rPr>
                <w:sz w:val="20"/>
                <w:szCs w:val="20"/>
                <w:color w:val="auto"/>
              </w:rPr>
            </w:pPr>
          </w:p>
        </w:tc>
        <w:tc>
          <w:tcPr>
            <w:tcW w:w="550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Lease</w:t>
            </w:r>
          </w:p>
        </w:tc>
      </w:tr>
    </w:tbl>
    <w:p>
      <w:pPr>
        <w:spacing w:after="0" w:line="26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2025, the aggregate cost of land and buildings and equipment, excluding construction in progress, for federal income tax purpose was approximately $5.9 billion.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investment in real estate for the three years ended December 31,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5,854,956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5,714,080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Costs and Improvements</w:t>
            </w:r>
          </w:p>
        </w:tc>
        <w:tc>
          <w:tcPr>
            <w:tcW w:w="2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 of Real Estate Assets</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Fully Depreciated and Other Assets</w:t>
            </w:r>
          </w:p>
        </w:tc>
        <w:tc>
          <w:tcPr>
            <w:tcW w:w="28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End of Year Including Real Estate Held for Sale</w:t>
            </w:r>
          </w:p>
        </w:tc>
        <w:tc>
          <w:tcPr>
            <w:tcW w:w="28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6,367,678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5,854,956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 Estate Held for Sale </w:t>
            </w:r>
            <w:r>
              <w:rPr>
                <w:rFonts w:ascii="Times New Roman" w:cs="Times New Roman" w:eastAsia="Times New Roman" w:hAnsi="Times New Roman"/>
                <w:sz w:val="23"/>
                <w:szCs w:val="23"/>
                <w:color w:val="auto"/>
                <w:vertAlign w:val="superscript"/>
              </w:rPr>
              <w:t>(A)</w:t>
            </w:r>
          </w:p>
        </w:tc>
        <w:tc>
          <w:tcPr>
            <w:tcW w:w="2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End of Year Excluding Real Estate Held for Sale</w:t>
            </w:r>
          </w:p>
        </w:tc>
        <w:tc>
          <w:tcPr>
            <w:tcW w:w="2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6,367,678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5,846,392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0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color w:val="auto"/>
        </w:rPr>
        <w:t>The changes in accumulated depreciation for the three years ended December 31,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921,480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for Year</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130,427</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of Real Estate Assets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 of Fully Depreciated and Other Assets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w:t>
            </w:r>
          </w:p>
        </w:tc>
      </w:tr>
      <w:tr>
        <w:trPr>
          <w:trHeight w:val="22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Year Including Real Estate Held for 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1,009,335</w:t>
            </w:r>
          </w:p>
        </w:tc>
      </w:tr>
      <w:tr>
        <w:trPr>
          <w:trHeight w:val="230"/>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 Estate Held for Sale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Year Excluding Real Estate Held for 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1,009,335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Real Estate Held for Sale at December 31, 2024 excludes $167 of other assets.</w:t>
      </w:r>
    </w:p>
    <w:p>
      <w:pPr>
        <w:spacing w:after="0" w:line="217" w:lineRule="exact"/>
        <w:rPr>
          <w:rFonts w:ascii="Times New Roman" w:cs="Times New Roman" w:eastAsia="Times New Roman" w:hAnsi="Times New Roman"/>
          <w:sz w:val="22"/>
          <w:szCs w:val="22"/>
          <w:color w:val="auto"/>
          <w:vertAlign w:val="superscript"/>
        </w:rPr>
      </w:pPr>
    </w:p>
    <w:p>
      <w:pPr>
        <w:ind w:left="200" w:hanging="192"/>
        <w:spacing w:after="0"/>
        <w:tabs>
          <w:tab w:leader="none" w:pos="20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Real Estate Held for Sale at December 31, 2024 excludes $11 of accumulated amortization related to the other assets mentioned above.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p>
      <w:pPr>
        <w:spacing w:after="0" w:line="297" w:lineRule="exact"/>
        <w:rPr>
          <w:sz w:val="20"/>
          <w:szCs w:val="20"/>
          <w:color w:val="auto"/>
        </w:rPr>
      </w:pPr>
    </w:p>
    <w:p>
      <w:pPr>
        <w:ind w:left="5500"/>
        <w:spacing w:after="0"/>
        <w:tabs>
          <w:tab w:leader="none" w:pos="7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Peter E. Baccile</w:t>
      </w:r>
    </w:p>
    <w:p>
      <w:pPr>
        <w:ind w:left="7160"/>
        <w:spacing w:after="0" w:line="20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ind w:left="77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2026</w:t>
      </w:r>
    </w:p>
    <w:p>
      <w:pPr>
        <w:spacing w:after="0" w:line="333" w:lineRule="exact"/>
        <w:rPr>
          <w:sz w:val="20"/>
          <w:szCs w:val="20"/>
          <w:color w:val="auto"/>
        </w:rPr>
      </w:pPr>
    </w:p>
    <w:p>
      <w:pPr>
        <w:ind w:left="5500"/>
        <w:spacing w:after="0"/>
        <w:tabs>
          <w:tab w:leader="none" w:pos="7820" w:val="left"/>
          <w:tab w:leader="none" w:pos="8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USIL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Scott A. Musil</w:t>
      </w:r>
    </w:p>
    <w:p>
      <w:pPr>
        <w:ind w:left="7920"/>
        <w:spacing w:after="0" w:line="20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7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2026</w:t>
      </w:r>
    </w:p>
    <w:p>
      <w:pPr>
        <w:spacing w:after="0" w:line="306" w:lineRule="exact"/>
        <w:rPr>
          <w:sz w:val="20"/>
          <w:szCs w:val="20"/>
          <w:color w:val="auto"/>
        </w:rPr>
      </w:pPr>
    </w:p>
    <w:p>
      <w:pPr>
        <w:ind w:left="5500"/>
        <w:spacing w:after="0"/>
        <w:tabs>
          <w:tab w:leader="none" w:pos="7780" w:val="left"/>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ARA</w:t>
      </w:r>
      <w:r>
        <w:rPr>
          <w:rFonts w:ascii="Times New Roman" w:cs="Times New Roman" w:eastAsia="Times New Roman" w:hAnsi="Times New Roman"/>
          <w:sz w:val="18"/>
          <w:szCs w:val="18"/>
          <w:color w:val="auto"/>
        </w:rPr>
        <w:t xml:space="preserve"> E. N</w:t>
      </w:r>
      <w:r>
        <w:rPr>
          <w:rFonts w:ascii="Times New Roman" w:cs="Times New Roman" w:eastAsia="Times New Roman" w:hAnsi="Times New Roman"/>
          <w:sz w:val="14"/>
          <w:szCs w:val="14"/>
          <w:color w:val="auto"/>
        </w:rPr>
        <w:t>IEMIEC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Sara E. Niemiec</w:t>
      </w:r>
    </w:p>
    <w:p>
      <w:pPr>
        <w:jc w:val="center"/>
        <w:ind w:left="5980"/>
        <w:spacing w:after="0" w:line="221" w:lineRule="auto"/>
        <w:rPr>
          <w:sz w:val="20"/>
          <w:szCs w:val="20"/>
          <w:color w:val="auto"/>
        </w:rPr>
      </w:pPr>
      <w:r>
        <w:rPr>
          <w:rFonts w:ascii="Times New Roman" w:cs="Times New Roman" w:eastAsia="Times New Roman" w:hAnsi="Times New Roman"/>
          <w:sz w:val="14"/>
          <w:szCs w:val="14"/>
          <w:b w:val="1"/>
          <w:bCs w:val="1"/>
          <w:color w:val="auto"/>
        </w:rPr>
        <w:t>Chief Accounting Officer</w:t>
      </w:r>
    </w:p>
    <w:p>
      <w:pPr>
        <w:ind w:left="76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2026</w:t>
      </w:r>
    </w:p>
    <w:p>
      <w:pPr>
        <w:spacing w:after="0" w:line="17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1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547"/>
        </w:trPr>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4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ATTHEW</w:t>
            </w:r>
            <w:r>
              <w:rPr>
                <w:rFonts w:ascii="Times New Roman" w:cs="Times New Roman" w:eastAsia="Times New Roman" w:hAnsi="Times New Roman"/>
                <w:sz w:val="18"/>
                <w:szCs w:val="18"/>
                <w:color w:val="auto"/>
              </w:rPr>
              <w:t xml:space="preserve"> S. D</w:t>
            </w:r>
            <w:r>
              <w:rPr>
                <w:rFonts w:ascii="Times New Roman" w:cs="Times New Roman" w:eastAsia="Times New Roman" w:hAnsi="Times New Roman"/>
                <w:sz w:val="14"/>
                <w:szCs w:val="14"/>
                <w:color w:val="auto"/>
              </w:rPr>
              <w:t>OMINSKI</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140" w:type="dxa"/>
            <w:vAlign w:val="bottom"/>
          </w:tcPr>
          <w:p>
            <w:pPr>
              <w:spacing w:after="0"/>
              <w:rPr>
                <w:sz w:val="15"/>
                <w:szCs w:val="15"/>
                <w:color w:val="auto"/>
              </w:rPr>
            </w:pPr>
          </w:p>
        </w:tc>
        <w:tc>
          <w:tcPr>
            <w:tcW w:w="28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Matthew S. Dominski</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40" w:type="dxa"/>
            <w:vAlign w:val="bottom"/>
            <w:tcBorders>
              <w:bottom w:val="single" w:sz="8" w:color="auto"/>
            </w:tcBorders>
          </w:tcPr>
          <w:p>
            <w:pPr>
              <w:jc w:val="center"/>
              <w:ind w:right="9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Peter E. Baccile</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34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40" w:type="dxa"/>
            <w:vAlign w:val="bottom"/>
            <w:tcBorders>
              <w:bottom w:val="single" w:sz="8" w:color="auto"/>
            </w:tcBorders>
          </w:tcPr>
          <w:p>
            <w:pPr>
              <w:jc w:val="center"/>
              <w:ind w:right="9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ERESA</w:t>
            </w:r>
            <w:r>
              <w:rPr>
                <w:rFonts w:ascii="Times New Roman" w:cs="Times New Roman" w:eastAsia="Times New Roman" w:hAnsi="Times New Roman"/>
                <w:sz w:val="18"/>
                <w:szCs w:val="18"/>
                <w:color w:val="auto"/>
              </w:rPr>
              <w:t xml:space="preserve"> B. B</w:t>
            </w:r>
            <w:r>
              <w:rPr>
                <w:rFonts w:ascii="Times New Roman" w:cs="Times New Roman" w:eastAsia="Times New Roman" w:hAnsi="Times New Roman"/>
                <w:sz w:val="14"/>
                <w:szCs w:val="14"/>
                <w:color w:val="auto"/>
              </w:rPr>
              <w:t>AZEMORE</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Teresa B. Bazemore</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4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H. P</w:t>
            </w:r>
            <w:r>
              <w:rPr>
                <w:rFonts w:ascii="Times New Roman" w:cs="Times New Roman" w:eastAsia="Times New Roman" w:hAnsi="Times New Roman"/>
                <w:sz w:val="14"/>
                <w:szCs w:val="14"/>
                <w:color w:val="auto"/>
              </w:rPr>
              <w:t>ATRICK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ACKETT</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140" w:type="dxa"/>
            <w:vAlign w:val="bottom"/>
          </w:tcPr>
          <w:p>
            <w:pPr>
              <w:spacing w:after="0"/>
              <w:rPr>
                <w:sz w:val="15"/>
                <w:szCs w:val="15"/>
                <w:color w:val="auto"/>
              </w:rPr>
            </w:pPr>
          </w:p>
        </w:tc>
        <w:tc>
          <w:tcPr>
            <w:tcW w:w="28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H. Patrick Hackett, Jr.</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40" w:type="dxa"/>
            <w:vAlign w:val="bottom"/>
            <w:tcBorders>
              <w:bottom w:val="single" w:sz="8" w:color="auto"/>
            </w:tcBorders>
          </w:tcPr>
          <w:p>
            <w:pPr>
              <w:jc w:val="center"/>
              <w:ind w:right="9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ENISE</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LSEN</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Denise A. Olsen</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40" w:type="dxa"/>
            <w:vAlign w:val="bottom"/>
            <w:tcBorders>
              <w:bottom w:val="single" w:sz="8" w:color="auto"/>
            </w:tcBorders>
          </w:tcPr>
          <w:p>
            <w:pPr>
              <w:jc w:val="center"/>
              <w:ind w:right="9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ARCUS</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4"/>
                <w:szCs w:val="14"/>
                <w:color w:val="auto"/>
              </w:rPr>
              <w:t>MITH</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Marcus L. Smith</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86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0" w:type="dxa"/>
            <w:vAlign w:val="bottom"/>
            <w:gridSpan w:val="2"/>
          </w:tcPr>
          <w:p>
            <w:pPr>
              <w:jc w:val="right"/>
              <w:ind w:right="3333"/>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FIRST INDUSTRIAL, L.P.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tc>
      </w:tr>
      <w:tr>
        <w:trPr>
          <w:trHeight w:val="238"/>
        </w:trPr>
        <w:tc>
          <w:tcPr>
            <w:tcW w:w="60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general partner</w:t>
            </w:r>
          </w:p>
        </w:tc>
        <w:tc>
          <w:tcPr>
            <w:tcW w:w="3160" w:type="dxa"/>
            <w:vAlign w:val="bottom"/>
          </w:tcPr>
          <w:p>
            <w:pPr>
              <w:spacing w:after="0"/>
              <w:rPr>
                <w:sz w:val="20"/>
                <w:szCs w:val="20"/>
                <w:color w:val="auto"/>
              </w:rPr>
            </w:pPr>
          </w:p>
        </w:tc>
      </w:tr>
      <w:tr>
        <w:trPr>
          <w:trHeight w:val="453"/>
        </w:trPr>
        <w:tc>
          <w:tcPr>
            <w:tcW w:w="60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60" w:type="dxa"/>
            <w:vAlign w:val="bottom"/>
            <w:tcBorders>
              <w:bottom w:val="single" w:sz="8" w:color="auto"/>
            </w:tcBorders>
          </w:tcPr>
          <w:p>
            <w:pPr>
              <w:jc w:val="center"/>
              <w:ind w:right="1617"/>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tc>
      </w:tr>
      <w:tr>
        <w:trPr>
          <w:trHeight w:val="137"/>
        </w:trPr>
        <w:tc>
          <w:tcPr>
            <w:tcW w:w="6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160" w:type="dxa"/>
            <w:vAlign w:val="bottom"/>
          </w:tcPr>
          <w:p>
            <w:pPr>
              <w:jc w:val="center"/>
              <w:ind w:right="1977"/>
              <w:spacing w:after="0" w:line="137" w:lineRule="exact"/>
              <w:rPr>
                <w:sz w:val="20"/>
                <w:szCs w:val="20"/>
                <w:color w:val="auto"/>
              </w:rPr>
            </w:pPr>
            <w:r>
              <w:rPr>
                <w:rFonts w:ascii="Times New Roman" w:cs="Times New Roman" w:eastAsia="Times New Roman" w:hAnsi="Times New Roman"/>
                <w:sz w:val="14"/>
                <w:szCs w:val="14"/>
                <w:b w:val="1"/>
                <w:bCs w:val="1"/>
                <w:color w:val="auto"/>
              </w:rPr>
              <w:t>Peter E. Baccile</w:t>
            </w:r>
          </w:p>
        </w:tc>
      </w:tr>
      <w:tr>
        <w:trPr>
          <w:trHeight w:val="146"/>
        </w:trPr>
        <w:tc>
          <w:tcPr>
            <w:tcW w:w="6020" w:type="dxa"/>
            <w:vAlign w:val="bottom"/>
          </w:tcPr>
          <w:p>
            <w:pPr>
              <w:spacing w:after="0"/>
              <w:rPr>
                <w:sz w:val="12"/>
                <w:szCs w:val="12"/>
                <w:color w:val="auto"/>
              </w:rPr>
            </w:pPr>
          </w:p>
        </w:tc>
        <w:tc>
          <w:tcPr>
            <w:tcW w:w="52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tc>
      </w:tr>
      <w:tr>
        <w:trPr>
          <w:trHeight w:val="190"/>
        </w:trPr>
        <w:tc>
          <w:tcPr>
            <w:tcW w:w="6020" w:type="dxa"/>
            <w:vAlign w:val="bottom"/>
          </w:tcPr>
          <w:p>
            <w:pPr>
              <w:spacing w:after="0"/>
              <w:rPr>
                <w:sz w:val="16"/>
                <w:szCs w:val="16"/>
                <w:color w:val="auto"/>
              </w:rPr>
            </w:pPr>
          </w:p>
        </w:tc>
        <w:tc>
          <w:tcPr>
            <w:tcW w:w="5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39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47"/>
        </w:trPr>
        <w:tc>
          <w:tcPr>
            <w:tcW w:w="60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60" w:type="dxa"/>
            <w:vAlign w:val="bottom"/>
            <w:tcBorders>
              <w:bottom w:val="single" w:sz="8" w:color="auto"/>
            </w:tcBorders>
          </w:tcPr>
          <w:p>
            <w:pPr>
              <w:jc w:val="center"/>
              <w:ind w:right="1617"/>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USIL</w:t>
            </w:r>
          </w:p>
        </w:tc>
      </w:tr>
      <w:tr>
        <w:trPr>
          <w:trHeight w:val="137"/>
        </w:trPr>
        <w:tc>
          <w:tcPr>
            <w:tcW w:w="6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160" w:type="dxa"/>
            <w:vAlign w:val="bottom"/>
          </w:tcPr>
          <w:p>
            <w:pPr>
              <w:jc w:val="center"/>
              <w:ind w:right="1977"/>
              <w:spacing w:after="0" w:line="137" w:lineRule="exact"/>
              <w:rPr>
                <w:sz w:val="20"/>
                <w:szCs w:val="20"/>
                <w:color w:val="auto"/>
              </w:rPr>
            </w:pPr>
            <w:r>
              <w:rPr>
                <w:rFonts w:ascii="Times New Roman" w:cs="Times New Roman" w:eastAsia="Times New Roman" w:hAnsi="Times New Roman"/>
                <w:sz w:val="14"/>
                <w:szCs w:val="14"/>
                <w:b w:val="1"/>
                <w:bCs w:val="1"/>
                <w:color w:val="auto"/>
              </w:rPr>
              <w:t>Scott A. Musil</w:t>
            </w:r>
          </w:p>
        </w:tc>
      </w:tr>
      <w:tr>
        <w:trPr>
          <w:trHeight w:val="146"/>
        </w:trPr>
        <w:tc>
          <w:tcPr>
            <w:tcW w:w="6020" w:type="dxa"/>
            <w:vAlign w:val="bottom"/>
          </w:tcPr>
          <w:p>
            <w:pPr>
              <w:spacing w:after="0"/>
              <w:rPr>
                <w:sz w:val="12"/>
                <w:szCs w:val="12"/>
                <w:color w:val="auto"/>
              </w:rPr>
            </w:pPr>
          </w:p>
        </w:tc>
        <w:tc>
          <w:tcPr>
            <w:tcW w:w="52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6020" w:type="dxa"/>
            <w:vAlign w:val="bottom"/>
          </w:tcPr>
          <w:p>
            <w:pPr>
              <w:spacing w:after="0"/>
              <w:rPr>
                <w:sz w:val="16"/>
                <w:szCs w:val="16"/>
                <w:color w:val="auto"/>
              </w:rPr>
            </w:pPr>
          </w:p>
        </w:tc>
        <w:tc>
          <w:tcPr>
            <w:tcW w:w="5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r>
        <w:trPr>
          <w:trHeight w:val="39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51"/>
        </w:trPr>
        <w:tc>
          <w:tcPr>
            <w:tcW w:w="60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60" w:type="dxa"/>
            <w:vAlign w:val="bottom"/>
          </w:tcPr>
          <w:p>
            <w:pPr>
              <w:jc w:val="center"/>
              <w:ind w:right="1637"/>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ARA</w:t>
            </w:r>
            <w:r>
              <w:rPr>
                <w:rFonts w:ascii="Times New Roman" w:cs="Times New Roman" w:eastAsia="Times New Roman" w:hAnsi="Times New Roman"/>
                <w:sz w:val="18"/>
                <w:szCs w:val="18"/>
                <w:color w:val="auto"/>
              </w:rPr>
              <w:t xml:space="preserve"> E. N</w:t>
            </w:r>
            <w:r>
              <w:rPr>
                <w:rFonts w:ascii="Times New Roman" w:cs="Times New Roman" w:eastAsia="Times New Roman" w:hAnsi="Times New Roman"/>
                <w:sz w:val="14"/>
                <w:szCs w:val="14"/>
                <w:color w:val="auto"/>
              </w:rPr>
              <w:t>IEMIEC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8255</wp:posOffset>
            </wp:positionV>
            <wp:extent cx="3317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Sara E. Niemiec</w:t>
      </w:r>
    </w:p>
    <w:p>
      <w:pPr>
        <w:jc w:val="center"/>
        <w:ind w:left="6000"/>
        <w:spacing w:after="0" w:line="221" w:lineRule="auto"/>
        <w:rPr>
          <w:sz w:val="20"/>
          <w:szCs w:val="20"/>
          <w:color w:val="auto"/>
        </w:rPr>
      </w:pPr>
      <w:r>
        <w:rPr>
          <w:rFonts w:ascii="Times New Roman" w:cs="Times New Roman" w:eastAsia="Times New Roman" w:hAnsi="Times New Roman"/>
          <w:sz w:val="14"/>
          <w:szCs w:val="14"/>
          <w:b w:val="1"/>
          <w:bCs w:val="1"/>
          <w:color w:val="auto"/>
        </w:rPr>
        <w:t>Chief Accounting Officer</w:t>
      </w:r>
    </w:p>
    <w:p>
      <w:pPr>
        <w:ind w:left="76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2026</w:t>
      </w:r>
    </w:p>
    <w:p>
      <w:pPr>
        <w:spacing w:after="0" w:line="17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jc w:val="center"/>
              <w:ind w:right="122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1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547"/>
        </w:trPr>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80" w:type="dxa"/>
            <w:vAlign w:val="bottom"/>
            <w:tcBorders>
              <w:bottom w:val="single" w:sz="8" w:color="auto"/>
            </w:tcBorders>
            <w:gridSpan w:val="2"/>
          </w:tcPr>
          <w:p>
            <w:pPr>
              <w:jc w:val="center"/>
              <w:ind w:right="762"/>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ATTHEW</w:t>
            </w:r>
            <w:r>
              <w:rPr>
                <w:rFonts w:ascii="Times New Roman" w:cs="Times New Roman" w:eastAsia="Times New Roman" w:hAnsi="Times New Roman"/>
                <w:sz w:val="18"/>
                <w:szCs w:val="18"/>
                <w:color w:val="auto"/>
              </w:rPr>
              <w:t xml:space="preserve"> S. D</w:t>
            </w:r>
            <w:r>
              <w:rPr>
                <w:rFonts w:ascii="Times New Roman" w:cs="Times New Roman" w:eastAsia="Times New Roman" w:hAnsi="Times New Roman"/>
                <w:sz w:val="14"/>
                <w:szCs w:val="14"/>
                <w:color w:val="auto"/>
              </w:rPr>
              <w:t>OMINSKI</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Matthew S. Dominski</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32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2660" w:type="dxa"/>
            <w:vAlign w:val="bottom"/>
            <w:tcBorders>
              <w:bottom w:val="single" w:sz="8" w:color="auto"/>
            </w:tcBorders>
          </w:tcPr>
          <w:p>
            <w:pPr>
              <w:jc w:val="center"/>
              <w:ind w:right="882"/>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Peter E. Baccile</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882"/>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ERESA</w:t>
            </w:r>
            <w:r>
              <w:rPr>
                <w:rFonts w:ascii="Times New Roman" w:cs="Times New Roman" w:eastAsia="Times New Roman" w:hAnsi="Times New Roman"/>
                <w:sz w:val="18"/>
                <w:szCs w:val="18"/>
                <w:color w:val="auto"/>
              </w:rPr>
              <w:t xml:space="preserve"> B. B</w:t>
            </w:r>
            <w:r>
              <w:rPr>
                <w:rFonts w:ascii="Times New Roman" w:cs="Times New Roman" w:eastAsia="Times New Roman" w:hAnsi="Times New Roman"/>
                <w:sz w:val="14"/>
                <w:szCs w:val="14"/>
                <w:color w:val="auto"/>
              </w:rPr>
              <w:t>AZEMORE</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Teresa B. Bazemore</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2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80" w:type="dxa"/>
            <w:vAlign w:val="bottom"/>
            <w:tcBorders>
              <w:bottom w:val="single" w:sz="8" w:color="auto"/>
            </w:tcBorders>
            <w:gridSpan w:val="2"/>
          </w:tcPr>
          <w:p>
            <w:pPr>
              <w:jc w:val="center"/>
              <w:ind w:right="742"/>
              <w:spacing w:after="0"/>
              <w:rPr>
                <w:sz w:val="20"/>
                <w:szCs w:val="20"/>
                <w:color w:val="auto"/>
              </w:rPr>
            </w:pPr>
            <w:r>
              <w:rPr>
                <w:rFonts w:ascii="Times New Roman" w:cs="Times New Roman" w:eastAsia="Times New Roman" w:hAnsi="Times New Roman"/>
                <w:sz w:val="18"/>
                <w:szCs w:val="18"/>
                <w:color w:val="auto"/>
              </w:rPr>
              <w:t>H. P</w:t>
            </w:r>
            <w:r>
              <w:rPr>
                <w:rFonts w:ascii="Times New Roman" w:cs="Times New Roman" w:eastAsia="Times New Roman" w:hAnsi="Times New Roman"/>
                <w:sz w:val="14"/>
                <w:szCs w:val="14"/>
                <w:color w:val="auto"/>
              </w:rPr>
              <w:t>ATRICK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ACKETT</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200" w:type="dxa"/>
            <w:vAlign w:val="bottom"/>
          </w:tcPr>
          <w:p>
            <w:pPr>
              <w:spacing w:after="0"/>
              <w:rPr>
                <w:sz w:val="15"/>
                <w:szCs w:val="15"/>
                <w:color w:val="auto"/>
              </w:rPr>
            </w:pPr>
          </w:p>
        </w:tc>
        <w:tc>
          <w:tcPr>
            <w:tcW w:w="2780" w:type="dxa"/>
            <w:vAlign w:val="bottom"/>
            <w:gridSpan w:val="2"/>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H. Patrick Hackett, Jr.</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11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ENISE</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LSEN</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Denise A. Olsen</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09"/>
        </w:trPr>
        <w:tc>
          <w:tcPr>
            <w:tcW w:w="132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2660" w:type="dxa"/>
            <w:vAlign w:val="bottom"/>
            <w:tcBorders>
              <w:bottom w:val="single" w:sz="8" w:color="auto"/>
            </w:tcBorders>
          </w:tcPr>
          <w:p>
            <w:pPr>
              <w:jc w:val="center"/>
              <w:ind w:right="882"/>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ARCUS</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4"/>
                <w:szCs w:val="14"/>
                <w:color w:val="auto"/>
              </w:rPr>
              <w:t>MITH</w:t>
            </w:r>
          </w:p>
        </w:tc>
        <w:tc>
          <w:tcPr>
            <w:tcW w:w="10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84"/>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ind w:right="1222"/>
              <w:spacing w:after="0"/>
              <w:rPr>
                <w:sz w:val="20"/>
                <w:szCs w:val="20"/>
                <w:color w:val="auto"/>
              </w:rPr>
            </w:pPr>
            <w:r>
              <w:rPr>
                <w:rFonts w:ascii="Times New Roman" w:cs="Times New Roman" w:eastAsia="Times New Roman" w:hAnsi="Times New Roman"/>
                <w:sz w:val="14"/>
                <w:szCs w:val="14"/>
                <w:b w:val="1"/>
                <w:bCs w:val="1"/>
                <w:color w:val="auto"/>
              </w:rPr>
              <w:t>Marcus L. Smith</w:t>
            </w:r>
          </w:p>
        </w:tc>
        <w:tc>
          <w:tcPr>
            <w:tcW w:w="1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863"/>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0" w:type="dxa"/>
            <w:vAlign w:val="bottom"/>
            <w:gridSpan w:val="2"/>
          </w:tcPr>
          <w:p>
            <w:pPr>
              <w:jc w:val="right"/>
              <w:ind w:right="333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Industrial is a public company traded on the New York Stock Exchange (NYSE) under the ticker symbol “FR.” Our directors, officers and employees must comply with the following policies with respect to trading in our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access to material non-public information regarding First Industrial or any of its business associates, you may not buy or sell securities of First Industrial (including limited partnership interests in First Industrial, L.P., First Industrial’s operating partnership) or otherwise take advantage of, or pass on to others, that information. These laws are generally referred to as “insider trading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Family Members: </w:t>
      </w:r>
      <w:r>
        <w:rPr>
          <w:rFonts w:ascii="Times New Roman" w:cs="Times New Roman" w:eastAsia="Times New Roman" w:hAnsi="Times New Roman"/>
          <w:sz w:val="18"/>
          <w:szCs w:val="18"/>
          <w:color w:val="auto"/>
        </w:rPr>
        <w:t>All references to “you” in this Insider Trading policy shall include members of your immediate family living with you (for example,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spouse and minor children), anyone else living in your household (other than household employees) and any entity over which you have control (for example, partnerships in which you are a general partner or trusts of which you are the trustee) (collectively, “Family Members”).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Parties: </w:t>
      </w:r>
      <w:r>
        <w:rPr>
          <w:rFonts w:ascii="Times New Roman" w:cs="Times New Roman" w:eastAsia="Times New Roman" w:hAnsi="Times New Roman"/>
          <w:sz w:val="18"/>
          <w:szCs w:val="18"/>
          <w:color w:val="auto"/>
        </w:rPr>
        <w:t>First Industrial may also determine that other persons should be subject to this policy, such as contractors or consultants who have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personally responsible for complying with this policy and ensuring the compliance of any Family Member. Any action on the part of First Industrial or any other employee (including pre-clearance of trades) does not constitute legal advice or insulate you from liability under the securities laws. If you have questions about this policy, or the propriety of any specific transaction, please contact our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written communication required under this policy, an email is acceptable.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Material Non-Public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Inside information has two important elements – materiality and public availability. Information is “material” if: (a) there is a substantial likelihood that a reasonable investor would consider it “important” in determining whether to trade in a security; or (b) it would likely affect the market price of a company’s securities if it were made public. Information may be material even if it relates to future, speculative, or contingent events, and even if it is significant only when considered in combination with publicly available information. Material information can be positive or negative. Depending on the facts and circumstances, information that could be considered material includes, but is not limited to:</w:t>
      </w:r>
    </w:p>
    <w:p>
      <w:pPr>
        <w:spacing w:after="0" w:line="210" w:lineRule="exact"/>
        <w:rPr>
          <w:sz w:val="20"/>
          <w:szCs w:val="20"/>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estimates or other unpublished financial results;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actions;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First Industrial’s prospects;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tender offers, joint ventures, or significant changes in assets, including sales or curtailment of operations in a particular market;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regarding First Industrial's securities (e.g., defaults on senior securities, calls of securities for redemption, repurchase plans, stock splits, changes in dividends, changes to the rights of security holders, or sales of additional securities);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in control of First Industrial;</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 or financing transactions out of the ordinary course;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auditor notification that First Industrial may no longer rely on an audit report.</w:t>
      </w:r>
    </w:p>
    <w:p>
      <w:pPr>
        <w:sectPr>
          <w:pgSz w:w="11900" w:h="16838" w:orient="portrait"/>
          <w:cols w:equalWidth="0" w:num="1">
            <w:col w:w="11240"/>
          </w:cols>
          <w:pgMar w:left="320" w:top="117" w:right="339" w:bottom="1440" w:gutter="0" w:footer="0" w:header="0"/>
        </w:sectPr>
      </w:pPr>
    </w:p>
    <w:bookmarkStart w:id="115" w:name="page116"/>
    <w:bookmarkEnd w:id="115"/>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is considered to be “public” when it has been disclosed and adequate time has passed for the securities markets to digest the information. Otherwise it is “non-public.” Examples of adequate disclosure include public filings with regulatory authorities and the issuance of press releases. A delay of two business days is generally considered sufficient for routine information to be absorbed by the market. Nevertheless, a longer period of delay might be considered appropriate in more complex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 and “Tipping”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 not disclose material non-public information to anyone, including colleagues, unless the person receiving the information has a legitimate need to know the information for purposes of carrying out First Industrial’s business. It is illegal and a violation of our Policy to convey such information to another (“tipping”) if you know or have reason to believe that the person will misuse such information by trading in securities or passing the information to others who trade. This applies regardless of whether the “tippee” is related to you in any way, or is an entity, such as a trust or a corporation, and regardless of whether you receive any benefit.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not being able to trade in First Industrial shares when in possession of material non-public information, it also applies to material non-public information relating to any other company with publicly traded stock, including, but not limited to, our tenants or vendors. When in possession of information that is material to such other party, that has not been made public, you may not purchase or sell shares in the other company. A lease with First Industrial may be material to another public company and if you are working with a public company asking whether the transaction is considered material to the other party is an important step in ensuring your compliance with insider trading laws.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inside trading laws apply to trading in the stock of other companies when you are in possession of material non-public information about First Industrial or any other party where the impact of such information may impact the value of shares of another company’s stock. An example is our financial results may impact the price of the stock of a competitor. Before such information is made public, you purchase or sell shares in the competitor. Such transaction may be a violation of insider trading laws and expose you and First Industrial to significant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become aware of such information, you must treat it as strictly confidential and not trade in shares of such other companies.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Industrial imposes a regular quarterly blackout period that begins on the 25th day of the last month of each calendar quarter and ends two full business days following the public announcement of our earnings for that quarter. We may extend this period or impose other blackout dates. During a blackout period, you and your Family Members may not conduct any transactions in our securities. Remember that you cannot trade any time you are in possession of or have access to material non-public information, whether or not you’ve been specifically told that you are subject to a blackout. Trading windows may close early, so you are advised to trade early in any window.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Blackout periods are subject to the exceptions set forth below under “Special Transactions” and “Pre-Arranged Trading Plans.”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not engage in any transaction involving securities of First Industrial without first obtaining pre-clearance of the transaction in writing from our General Counsel.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request for pre-clearance should be submitted at least 2 days in advance of the proposed transaction. Clearance of a transaction is valid only for a 7-day period. If the transaction order is not placed within that 7-day period, clearance of the transaction must be requested again. If clearance for a transaction is denied, you must keep that fact confidential.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Transactions</w:t>
      </w:r>
    </w:p>
    <w:p>
      <w:pPr>
        <w:sectPr>
          <w:pgSz w:w="11900" w:h="16838" w:orient="portrait"/>
          <w:cols w:equalWidth="0" w:num="1">
            <w:col w:w="11240"/>
          </w:cols>
          <w:pgMar w:left="320" w:top="1093" w:right="339" w:bottom="1440" w:gutter="0" w:footer="0" w:header="0"/>
        </w:sectPr>
      </w:pPr>
    </w:p>
    <w:bookmarkStart w:id="116" w:name="page117"/>
    <w:bookmarkEnd w:id="116"/>
    <w:p>
      <w:pPr>
        <w:spacing w:after="0" w:line="282" w:lineRule="auto"/>
        <w:rPr>
          <w:sz w:val="20"/>
          <w:szCs w:val="20"/>
          <w:color w:val="auto"/>
        </w:rPr>
      </w:pPr>
      <w:r>
        <w:rPr>
          <w:rFonts w:ascii="Times New Roman" w:cs="Times New Roman" w:eastAsia="Times New Roman" w:hAnsi="Times New Roman"/>
          <w:sz w:val="18"/>
          <w:szCs w:val="18"/>
          <w:color w:val="auto"/>
        </w:rPr>
        <w:t>The trading restrictions in this Insider Trading Policy do not apply to the following transactions, so long as no First Industrial stock is sold in the market in connection with the transaction or the payment of any related taxes:</w:t>
      </w:r>
    </w:p>
    <w:p>
      <w:pPr>
        <w:spacing w:after="0" w:line="189" w:lineRule="exact"/>
        <w:rPr>
          <w:sz w:val="20"/>
          <w:szCs w:val="20"/>
          <w:color w:val="auto"/>
        </w:rPr>
      </w:pPr>
    </w:p>
    <w:p>
      <w:pPr>
        <w:ind w:left="1300" w:right="20" w:hanging="320"/>
        <w:spacing w:after="0" w:line="282" w:lineRule="auto"/>
        <w:tabs>
          <w:tab w:leader="none" w:pos="12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stock, and the withholding of shares by First Industrial to satisfy related tax withholding requirements pursuant to the exercise of a tax withholding right.</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where cash is paid to exercise the option, and the withholding of options to satisfy related tax withholding requirements pursuant to the exercise of a tax withholding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Pre-Arranged Trading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laws and our Insider Trading policy permit you to trade in our securities regardless of your awareness of material non-public information if the transaction is made pursuant to a pre-arranged written trading plan (“Trading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Plan must comply with the requirements of Rule 10b5-1 under the Securities Exchange Act of 1934 and must have been established when you were not in possession of material non-public information or subject to a blackout period. You must submit a written request to the General Counsel for approval to adopt, terminate or amend a Trading Plan. Trading Plans may be adopted, amended or replaced only during periods when trading is otherwise permitted in accordance with this Policy.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the Trading Plan is adopted, you must not exercise any subsequent influence over the amount of securities to be traded, the price at which they are to be traded or the date of the trade. You should understand that modifications of a Trading Plan may call into your good faith in entering into the plan (and may jeopardize the availability of the affirmative defense against insider trading allegations provided by adopting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Prohibited Transactions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heightened legal risk associated with the following transactions, you are restricted from doing them with respect to our securities:</w:t>
      </w:r>
    </w:p>
    <w:p>
      <w:pPr>
        <w:spacing w:after="0" w:line="252"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Transacting in options, warrants, puts and calls or similar instruments;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(where you either (a) do not own the securities sold or (b) do own the securities sold but do not deliver them within 20 days or mail them within 5 days of the sale);</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them in a margin account or otherwise pledging them as collateral for a loan;</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transactions such as (but not limited to) zero-cost collars, equity swaps, and forward sale contracts;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securities of the same class of any other securities you purchased during the six months prior to that sale (or vice versa) (“short swing profiting”); or</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standing or limit orders on them (that could carry beyond your allowed trading timeframe).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securities transactions become subject to scrutiny, they are likely to be viewed with “20/20 hindsight.” Before engaging in any purchase or sale of securities, you should carefully consider how the transaction may be construed by others both at the time of the transaction and in the future. The personal consequences of illegally trading securities can be severe. In addition to injunctive relief and disgorgement of illegal profits, you could be assessed civil penalties of three times the profits made or losses avoided, even if you might consider those profits remote to you or you were not the direct tipper (i.e., the profiting tippee was someone downstream from you). Criminal penalties include fines up to $5 million ($25 million for entities) and/or imprisonment for up to twenty years for “willful” violations. Employees who violate this Insider Trading policy may also be subject to discipline by First Industrial, including termination.</w:t>
      </w:r>
    </w:p>
    <w:p>
      <w:pPr>
        <w:sectPr>
          <w:pgSz w:w="11900" w:h="16838" w:orient="portrait"/>
          <w:cols w:equalWidth="0" w:num="1">
            <w:col w:w="11240"/>
          </w:cols>
          <w:pgMar w:left="320" w:top="109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Post Departure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in possession of material non-public information when you depart First Industrial, you must keep it confidential, and you may not trade in our securities until it has become public or is no longer material. Assuming you have no material non-public information, however, you will not have to pre-clear your transactions following the end of any blackout period or other applicable First Industrial-imposed trading restriction.</w:t>
      </w:r>
    </w:p>
    <w:p>
      <w:pPr>
        <w:sectPr>
          <w:pgSz w:w="11900" w:h="16838" w:orient="portrait"/>
          <w:cols w:equalWidth="0" w:num="1">
            <w:col w:w="11240"/>
          </w:cols>
          <w:pgMar w:left="320" w:top="1089"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9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c>
          <w:tcPr>
            <w:tcW w:w="0" w:type="dxa"/>
            <w:vAlign w:val="bottom"/>
          </w:tcPr>
          <w:p>
            <w:pPr>
              <w:spacing w:after="0"/>
              <w:rPr>
                <w:sz w:val="1"/>
                <w:szCs w:val="1"/>
                <w:color w:val="auto"/>
              </w:rPr>
            </w:pPr>
          </w:p>
        </w:tc>
      </w:tr>
      <w:tr>
        <w:trPr>
          <w:trHeight w:val="275"/>
        </w:trPr>
        <w:tc>
          <w:tcPr>
            <w:tcW w:w="9800" w:type="dxa"/>
            <w:vAlign w:val="bottom"/>
            <w:gridSpan w:val="2"/>
          </w:tcPr>
          <w:p>
            <w:pPr>
              <w:ind w:left="3800"/>
              <w:spacing w:after="0"/>
              <w:rPr>
                <w:sz w:val="20"/>
                <w:szCs w:val="20"/>
                <w:color w:val="auto"/>
              </w:rPr>
            </w:pPr>
            <w:r>
              <w:rPr>
                <w:rFonts w:ascii="Times New Roman" w:cs="Times New Roman" w:eastAsia="Times New Roman" w:hAnsi="Times New Roman"/>
                <w:sz w:val="18"/>
                <w:szCs w:val="18"/>
                <w:b w:val="1"/>
                <w:bCs w:val="1"/>
                <w:color w:val="auto"/>
              </w:rPr>
              <w:t>FIRST INDUSTRIAL REALTY TRUST, INC.</w:t>
            </w: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980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w:t>
            </w:r>
          </w:p>
        </w:tc>
        <w:tc>
          <w:tcPr>
            <w:tcW w:w="0" w:type="dxa"/>
            <w:vAlign w:val="bottom"/>
          </w:tcPr>
          <w:p>
            <w:pPr>
              <w:spacing w:after="0"/>
              <w:rPr>
                <w:sz w:val="1"/>
                <w:szCs w:val="1"/>
                <w:color w:val="auto"/>
              </w:rPr>
            </w:pPr>
          </w:p>
        </w:tc>
      </w:tr>
      <w:tr>
        <w:trPr>
          <w:trHeight w:val="162"/>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0" w:type="dxa"/>
            <w:vAlign w:val="bottom"/>
            <w:gridSpan w:val="2"/>
          </w:tcPr>
          <w:p>
            <w:pPr>
              <w:jc w:val="center"/>
              <w:ind w:right="20"/>
              <w:spacing w:after="0" w:line="162" w:lineRule="exact"/>
              <w:rPr>
                <w:sz w:val="20"/>
                <w:szCs w:val="20"/>
                <w:color w:val="auto"/>
              </w:rPr>
            </w:pPr>
            <w:r>
              <w:rPr>
                <w:rFonts w:ascii="Times New Roman" w:cs="Times New Roman" w:eastAsia="Times New Roman" w:hAnsi="Times New Roman"/>
                <w:sz w:val="16"/>
                <w:szCs w:val="16"/>
                <w:b w:val="1"/>
                <w:bCs w:val="1"/>
                <w:color w:val="auto"/>
              </w:rPr>
              <w:t>Incorporation</w:t>
            </w:r>
          </w:p>
        </w:tc>
        <w:tc>
          <w:tcPr>
            <w:tcW w:w="0" w:type="dxa"/>
            <w:vAlign w:val="bottom"/>
          </w:tcPr>
          <w:p>
            <w:pPr>
              <w:spacing w:after="0"/>
              <w:rPr>
                <w:sz w:val="1"/>
                <w:szCs w:val="1"/>
                <w:color w:val="auto"/>
              </w:rPr>
            </w:pPr>
          </w:p>
        </w:tc>
      </w:tr>
      <w:tr>
        <w:trPr>
          <w:trHeight w:val="214"/>
        </w:trPr>
        <w:tc>
          <w:tcPr>
            <w:tcW w:w="9800" w:type="dxa"/>
            <w:vAlign w:val="bottom"/>
            <w:gridSpan w:val="2"/>
            <w:vMerge w:val="continue"/>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0" w:type="dxa"/>
            <w:vAlign w:val="bottom"/>
          </w:tcPr>
          <w:p>
            <w:pPr>
              <w:spacing w:after="0"/>
              <w:rPr>
                <w:sz w:val="1"/>
                <w:szCs w:val="1"/>
                <w:color w:val="auto"/>
              </w:rPr>
            </w:pPr>
          </w:p>
        </w:tc>
      </w:tr>
      <w:tr>
        <w:trPr>
          <w:trHeight w:val="220"/>
        </w:trPr>
        <w:tc>
          <w:tcPr>
            <w:tcW w:w="9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431 Railroad Avenue General Partner, LP</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431 Railroad Avenue Property Holding,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431 Railroad Avenue Second,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431 Railroad Avenue,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5382 Arch Road Stockton Acquisition,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700 Couchville Pike,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78-81 Crossroads,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78-81 Jonestown,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78-81 Logistics Center,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 Development Services Corporation</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 Development Services,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 New Jersey Exchange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FIFP Conyers,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FIP MM Aurora,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Florence I Urban Renewal,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New Jersey</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Acquisitions II,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Acquisitions, Inc.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Development Services Tampa,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Finance Corporation</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Financing Partnership,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Harrisburg Corporation</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Harrisburg,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Investment II,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Investment Properties, Inc.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Management Services (Denver),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Mortgage Corporation</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Mortgage Partnership,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Pennsylvania Corporation</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Pennsylvania,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Realty Trust, Inc.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Securities Corporation</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Securities,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Telecommunications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Texas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Industrial, L.P.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Park 283 Logistics Center,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Park 417,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Park 94,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Park Miami,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FP Fairburn,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 10680 88 AVENUE, LLC</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60" w:top="981"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11600 NW 107,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1200 NW Street,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1351 NW 78,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1402 Puyallup,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14143 Washington,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14403 Santa Ana,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1508 Valentine,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1801 Andrews,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200 Cascade,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211 Parr Boulevard,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21110 E 31st,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24 Street East,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2504 NW 19,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263 Roy,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2755 Willow Road GP,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2755 Willow Road,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301 Bordentown 2,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4401 Shader Road,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450 Gills Drive,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4700 W. Ledbetter,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5355 Northwest 24 Street,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550 Gills Drive,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6407 South 210,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750 Gateway,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770 Gills Drive,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8000 East 96,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81 Paragon Drive,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82 Liberty,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8751 Skinner,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9211 Old Pike,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Aldrin Drive,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Aurora Commerce Center Phase I, LLC</w:t>
            </w:r>
          </w:p>
        </w:tc>
        <w:tc>
          <w:tcPr>
            <w:tcW w:w="420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AZ/TX,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Boulevard General Partner,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Boulevard Property Holding,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Boulevard Second,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Boulevard,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Brokerage Services of Michigan,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Brokerage Services, Inc.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7"/>
              </w:rPr>
              <w:t>Maryland</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Holding GP,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Exchange GP,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Exchange LP, LLC</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Holding 2,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Holding 3,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Holding 4,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Holding 5,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 CA Property Holding 6, LP</w:t>
            </w:r>
          </w:p>
        </w:tc>
        <w:tc>
          <w:tcPr>
            <w:tcW w:w="4200" w:type="dxa"/>
            <w:vAlign w:val="bottom"/>
          </w:tcPr>
          <w:p>
            <w:pPr>
              <w:ind w:left="350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360" w:top="1026" w:right="6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FR CA Property Holding 7,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8,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9,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10,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11,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12,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13,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14,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Camelback 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Camelback,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Cedar Park Port,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Clifton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Clifton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Clifton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Clifton,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CO/Tex Cuna,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Crossroads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Cumberland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Cumberland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Cumberland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Cumberland,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Dallas Houston,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Danieldale Road,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Depot Road,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Dessau Road,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E1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E1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E1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E1,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E2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E2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E2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E3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E3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E3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E3,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East Sam Houston Parkway 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East Sam Houston Parkway,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Avenue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Avenue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Avenue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Avenue,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Park Joliet,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Park Miami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Park Miami VI,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9420" w:space="720"/>
            <w:col w:w="700"/>
          </w:cols>
          <w:pgMar w:left="360" w:top="1026" w:right="6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FR First Park New Castle,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First State Crossing,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Fossil Creek,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Frederick,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Georgia,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Glendale,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Goodyear Manager,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Goodyear,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Hagerstown,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Harley Knox,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Hathaway,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Hunt Valley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Hunt Valley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Investment Properties,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JH 10 MM,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JH 10,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JH 12 MM,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JH 12,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Leo Lane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Leo Lane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Leo Lane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Leo Lane,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Lewisville Midway 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Lewisville Midway,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Loveton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Lyons Road,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Main Street,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Management,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Manchester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 Manchester Property Holding, LP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Manchester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Manchester,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Massachusetts 7,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McCormick Road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McFadden General Partner,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McFadden Property Holding,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McFadden Second,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Menomonee Falls,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National Life/Harrisburg,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Natwar,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Newlins Logistics Park,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Newlins Mill,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Newlins Park,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Nottingham,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NW 12 Terrace,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Oceanside,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 Old Post Road,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9420" w:space="720"/>
            <w:col w:w="700"/>
          </w:cols>
          <w:pgMar w:left="360" w:top="1026" w:right="6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Orchard 88,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Orlando,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Park 283 Londonderry,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Park 283,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Park Plaza,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Pepper Road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Pine Hills Road,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PV 303 Phase 2,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PV 303 Phase 3,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PV 303,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Randolph Drive,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Red Lion General Partner, LP</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Red Lion Property Holding, LP</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Red Lion Second,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Sam Houston Parkway Building E,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Shader Road,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Summit,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Tamarind II,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Texas GP,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Texas LP,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Washington Street,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Whitehall Intermediate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Whitehall Property Holding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Whitehall Second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Woodridge Land,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Woodridge,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York General Partner, LP</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York Property Holding, LP</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York Second,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 York,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Fraser Aurora,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FR-Kenosha,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FRV CO,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HQ Lemont,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Lavergne Lemont,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LPF 10100 Kenosha,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Sigman Conyers, LLC</w:t>
            </w:r>
          </w:p>
        </w:tc>
        <w:tc>
          <w:tcPr>
            <w:tcW w:w="41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840"/>
          </w:cols>
          <w:pgMar w:left="360" w:top="1026" w:right="6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33-95190, 333-03999, 333-21887, 333-53835, 333-57355, 333-64743, 333-38850, 333-70638, 333-104211, 333-142472, 333-142474, and 333-287056) and on Form S-8 (No. 333-36699, 333-45317, 333-67824, 333-166489, 333-180724, 333-195760, 333-238538, and 333-279044) of First Industrial Realty Trust, Inc. of our report dated February 11, 2026 relating to the financial statements, financial statement schedule and the effectiveness of internal control over financial reporting, which appears in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ectPr>
          <w:pgSz w:w="11900" w:h="16838" w:orient="portrait"/>
          <w:cols w:equalWidth="0" w:num="1">
            <w:col w:w="11240"/>
          </w:cols>
          <w:pgMar w:left="320" w:top="98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333-287056) of First Industrial, L.P. of our report dated February 11, 2026 relating to the financial statements, financial statement schedule and the effectiveness of internal control over financial reporting, which appears in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ectPr>
          <w:pgSz w:w="11900" w:h="16838" w:orient="portrait"/>
          <w:cols w:equalWidth="0" w:num="1">
            <w:col w:w="11240"/>
          </w:cols>
          <w:pgMar w:left="320" w:top="98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E. Baccile,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Industrial Realty Trust,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 February 11,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26035</wp:posOffset>
            </wp:positionV>
            <wp:extent cx="36436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Peter E. Baccile</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Musil, certify that:</w:t>
      </w:r>
    </w:p>
    <w:p>
      <w:pPr>
        <w:spacing w:after="0" w:line="90"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Industrial Realty Trust, Inc.;</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 February 11,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USIL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26035</wp:posOffset>
            </wp:positionV>
            <wp:extent cx="3643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Scott A. Musil</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E. Baccile, certify that:</w:t>
      </w:r>
    </w:p>
    <w:p>
      <w:pPr>
        <w:spacing w:after="0" w:line="171"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Industrial, L.P.;</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13a-l5(e)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6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tc>
      </w:tr>
      <w:tr>
        <w:trPr>
          <w:trHeight w:val="218"/>
        </w:trPr>
        <w:tc>
          <w:tcPr>
            <w:tcW w:w="476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Peter E. Baccile</w:t>
            </w:r>
          </w:p>
        </w:tc>
      </w:tr>
      <w:tr>
        <w:trPr>
          <w:trHeight w:val="180"/>
        </w:trPr>
        <w:tc>
          <w:tcPr>
            <w:tcW w:w="4760" w:type="dxa"/>
            <w:vAlign w:val="bottom"/>
          </w:tcPr>
          <w:p>
            <w:pPr>
              <w:spacing w:after="0"/>
              <w:rPr>
                <w:sz w:val="15"/>
                <w:szCs w:val="15"/>
                <w:color w:val="auto"/>
              </w:rPr>
            </w:pPr>
          </w:p>
        </w:tc>
        <w:tc>
          <w:tcPr>
            <w:tcW w:w="64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60" w:type="dxa"/>
            <w:vAlign w:val="bottom"/>
          </w:tcPr>
          <w:p>
            <w:pPr>
              <w:spacing w:after="0"/>
              <w:rPr>
                <w:sz w:val="20"/>
                <w:szCs w:val="20"/>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8"/>
        </w:trPr>
        <w:tc>
          <w:tcPr>
            <w:tcW w:w="4760" w:type="dxa"/>
            <w:vAlign w:val="bottom"/>
          </w:tcPr>
          <w:p>
            <w:pPr>
              <w:spacing w:after="0"/>
              <w:rPr>
                <w:sz w:val="20"/>
                <w:szCs w:val="20"/>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Industrial Realty Trust, Inc.</w:t>
            </w:r>
          </w:p>
        </w:tc>
      </w:tr>
    </w:tbl>
    <w:p>
      <w:pPr>
        <w:sectPr>
          <w:pgSz w:w="11900" w:h="16838" w:orient="portrait"/>
          <w:cols w:equalWidth="0" w:num="1">
            <w:col w:w="11240"/>
          </w:cols>
          <w:pgMar w:left="320" w:top="88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Musil, certify that:</w:t>
      </w:r>
    </w:p>
    <w:p>
      <w:pPr>
        <w:spacing w:after="0" w:line="171"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Industrial, L.P.;</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13a-l5(e)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 February 11,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USIL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26035</wp:posOffset>
            </wp:positionV>
            <wp:extent cx="36429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Scott A. Musil</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First Industrial Realty Trust, Inc.</w:t>
      </w:r>
    </w:p>
    <w:p>
      <w:pPr>
        <w:sectPr>
          <w:pgSz w:w="11900" w:h="16838" w:orient="portrait"/>
          <w:cols w:equalWidth="0" w:num="1">
            <w:col w:w="11240"/>
          </w:cols>
          <w:pgMar w:left="320" w:top="887" w:right="339" w:bottom="1440" w:gutter="0" w:footer="0" w:header="0"/>
        </w:sectPr>
      </w:pPr>
    </w:p>
    <w:bookmarkStart w:id="129" w:name="page130"/>
    <w:bookmarkEnd w:id="12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Accompanying Form 10-K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First Industrial Realty Trust,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Title 18 U.S.C. §1350(a) and (b))</w:t>
      </w:r>
    </w:p>
    <w:p>
      <w:pPr>
        <w:spacing w:after="0" w:line="1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(Chapter 63, Title 18 U.S.C. §1350(a) and (b)), each of the undersigned hereby certifies, to his knowledge, that the Annual Report on Form 10-K for the year ended December 31, 2025 of First Industrial Realty Trust, Inc. (the “Company”)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166"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February 11,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26035</wp:posOffset>
            </wp:positionV>
            <wp:extent cx="36436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Peter E. Baccile</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February 11,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USIL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26035</wp:posOffset>
            </wp:positionV>
            <wp:extent cx="36436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Scott A. Musil</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 signed original of this written statement required by Section 906 has been provided to the Company and will be retained by the Company and furnished to the Securities and Exchange Commission or its staff upon request. The information contained in this written statement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to such filing.</w:t>
      </w:r>
    </w:p>
    <w:p>
      <w:pPr>
        <w:sectPr>
          <w:pgSz w:w="11900" w:h="16838" w:orient="portrait"/>
          <w:cols w:equalWidth="0" w:num="1">
            <w:col w:w="11240"/>
          </w:cols>
          <w:pgMar w:left="320" w:top="88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Accompanying Form 10-K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First Industrial,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Title 18 U.S.C. §1350(a) and (b))</w:t>
      </w:r>
    </w:p>
    <w:p>
      <w:pPr>
        <w:spacing w:after="0" w:line="1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(Chapter 63, Title 18 U.S.C. §1350(a) and (b)), each of the undersigned hereby certifies, to his knowledge, that the Annual Report on Form 10-K for the year ended December 31, 2025 of First Industrial, L.P. (the “Operating Partnership”) fully complies with the requirements of Section 13(a) or 15(d) of the Securities Exchange Act of 1934 and that the information contained in the Report fairly presents, in all material respects, the financial condition and results of operations of the Operating Partnership.</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11, 2026</w:t>
            </w:r>
          </w:p>
        </w:tc>
        <w:tc>
          <w:tcPr>
            <w:tcW w:w="5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ACCILE</w:t>
            </w:r>
          </w:p>
        </w:tc>
      </w:tr>
      <w:tr>
        <w:trPr>
          <w:trHeight w:val="218"/>
        </w:trPr>
        <w:tc>
          <w:tcPr>
            <w:tcW w:w="554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Peter E. Baccile</w:t>
            </w:r>
          </w:p>
        </w:tc>
      </w:tr>
      <w:tr>
        <w:trPr>
          <w:trHeight w:val="180"/>
        </w:trPr>
        <w:tc>
          <w:tcPr>
            <w:tcW w:w="5540" w:type="dxa"/>
            <w:vAlign w:val="bottom"/>
          </w:tcPr>
          <w:p>
            <w:pPr>
              <w:spacing w:after="0"/>
              <w:rPr>
                <w:sz w:val="15"/>
                <w:szCs w:val="15"/>
                <w:color w:val="auto"/>
              </w:rPr>
            </w:pPr>
          </w:p>
        </w:tc>
        <w:tc>
          <w:tcPr>
            <w:tcW w:w="53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8"/>
        </w:trPr>
        <w:tc>
          <w:tcPr>
            <w:tcW w:w="554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Industrial Realty Trust, Inc.</w:t>
            </w:r>
          </w:p>
        </w:tc>
      </w:tr>
      <w:tr>
        <w:trPr>
          <w:trHeight w:val="56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11, 2026</w:t>
            </w:r>
          </w:p>
        </w:tc>
        <w:tc>
          <w:tcPr>
            <w:tcW w:w="5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USIL</w:t>
            </w:r>
          </w:p>
        </w:tc>
      </w:tr>
      <w:tr>
        <w:trPr>
          <w:trHeight w:val="218"/>
        </w:trPr>
        <w:tc>
          <w:tcPr>
            <w:tcW w:w="554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Scott A. Musil</w:t>
            </w:r>
          </w:p>
        </w:tc>
      </w:tr>
      <w:tr>
        <w:trPr>
          <w:trHeight w:val="180"/>
        </w:trPr>
        <w:tc>
          <w:tcPr>
            <w:tcW w:w="5540" w:type="dxa"/>
            <w:vAlign w:val="bottom"/>
          </w:tcPr>
          <w:p>
            <w:pPr>
              <w:spacing w:after="0"/>
              <w:rPr>
                <w:sz w:val="15"/>
                <w:szCs w:val="15"/>
                <w:color w:val="auto"/>
              </w:rPr>
            </w:pPr>
          </w:p>
        </w:tc>
        <w:tc>
          <w:tcPr>
            <w:tcW w:w="53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4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8"/>
        </w:trPr>
        <w:tc>
          <w:tcPr>
            <w:tcW w:w="554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Industrial Realty Trust, Inc.</w:t>
            </w:r>
          </w:p>
        </w:tc>
      </w:tr>
    </w:tbl>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 signed original of this written statement required by Section 906 has been provided to the Operating Partnership and will be retained by the Operating Partnership and furnished to the Securities and Exchange Commission or its staff upon request. The information contained in this written statement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to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upperLetter"/>
      <w:start w:val="1"/>
    </w:lvl>
  </w:abstractNum>
  <w:abstractNum w:abstractNumId="17">
    <w:nsid w:val="440BADFC"/>
    <w:multiLevelType w:val="hybridMultilevel"/>
    <w:lvl w:ilvl="0">
      <w:lvlJc w:val="left"/>
      <w:lvlText w:val="(%1)"/>
      <w:numFmt w:val="upperLetter"/>
      <w:start w:val="1"/>
    </w:lvl>
  </w:abstractNum>
  <w:abstractNum w:abstractNumId="18">
    <w:nsid w:val="5072367"/>
    <w:multiLevelType w:val="hybridMultilevel"/>
    <w:lvl w:ilvl="0">
      <w:lvlJc w:val="left"/>
      <w:lvlText w:val="(%1)"/>
      <w:numFmt w:val="upperLetter"/>
      <w:start w:val="1"/>
    </w:lvl>
  </w:abstractNum>
  <w:abstractNum w:abstractNumId="19">
    <w:nsid w:val="3804823E"/>
    <w:multiLevelType w:val="hybridMultilevel"/>
    <w:lvl w:ilvl="0">
      <w:lvlJc w:val="left"/>
      <w:lvlText w:val="(%1)"/>
      <w:numFmt w:val="upperLetter"/>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lvl w:ilvl="1">
      <w:lvlJc w:val="left"/>
      <w:lvlText w:val="◦"/>
      <w:numFmt w:val="bullet"/>
      <w:start w:val="1"/>
    </w:lvl>
  </w:abstractNum>
  <w:abstractNum w:abstractNumId="28">
    <w:nsid w:val="153EA438"/>
    <w:multiLevelType w:val="hybridMultilevel"/>
    <w:lvl w:ilvl="0">
      <w:lvlJc w:val="left"/>
      <w:lvlText w:val="(%1)"/>
      <w:numFmt w:val="upperLetter"/>
      <w:start w:val="1"/>
    </w:lvl>
  </w:abstractNum>
  <w:abstractNum w:abstractNumId="29">
    <w:nsid w:val="3855585C"/>
    <w:multiLevelType w:val="hybridMultilevel"/>
    <w:lvl w:ilvl="0">
      <w:lvlJc w:val="left"/>
      <w:lvlText w:val="%1"/>
      <w:numFmt w:val="upperLetter"/>
      <w:start w:val="35"/>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decimal"/>
      <w:start w:val="3"/>
    </w:lvl>
  </w:abstractNum>
  <w:abstractNum w:abstractNumId="32">
    <w:nsid w:val="2A487CB0"/>
    <w:multiLevelType w:val="hybridMultilevel"/>
    <w:lvl w:ilvl="0">
      <w:lvlJc w:val="left"/>
      <w:lvlText w:val="*"/>
      <w:numFmt w:val="bullet"/>
      <w:start w:val="1"/>
    </w:lvl>
    <w:lvl w:ilvl="1">
      <w:lvlJc w:val="left"/>
      <w:lvlText w:val="%2"/>
      <w:numFmt w:val="decimal"/>
      <w:start w:val="104"/>
    </w:lvl>
  </w:abstractNum>
  <w:abstractNum w:abstractNumId="33">
    <w:nsid w:val="1D4ED43B"/>
    <w:multiLevelType w:val="hybridMultilevel"/>
    <w:lvl w:ilvl="0">
      <w:lvlJc w:val="left"/>
      <w:lvlText w:val="**"/>
      <w:numFmt w:val="bullet"/>
      <w:start w:val="1"/>
    </w:lvl>
    <w:lvl w:ilvl="1">
      <w:lvlJc w:val="left"/>
      <w:lvlText w:val="%2"/>
      <w:numFmt w:val="decimal"/>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upperLetter"/>
      <w:start w:val="1"/>
    </w:lvl>
  </w:abstractNum>
  <w:abstractNum w:abstractNumId="37">
    <w:nsid w:val="7A6D8D3C"/>
    <w:multiLevelType w:val="hybridMultilevel"/>
    <w:lvl w:ilvl="0">
      <w:lvlJc w:val="left"/>
      <w:lvlText w:val="(%1)"/>
      <w:numFmt w:val="upperLetter"/>
      <w:start w:val="1"/>
    </w:lvl>
  </w:abstractNum>
  <w:abstractNum w:abstractNumId="38">
    <w:nsid w:val="4B588F54"/>
    <w:multiLevelType w:val="hybridMultilevel"/>
    <w:lvl w:ilvl="0">
      <w:lvlJc w:val="left"/>
      <w:lvlText w:val="(%1)"/>
      <w:numFmt w:val="upperLetter"/>
      <w:start w:val="1"/>
    </w:lvl>
  </w:abstractNum>
  <w:abstractNum w:abstractNumId="39">
    <w:nsid w:val="542289EC"/>
    <w:multiLevelType w:val="hybridMultilevel"/>
    <w:lvl w:ilvl="0">
      <w:lvlJc w:val="left"/>
      <w:lvlText w:val="(%1)"/>
      <w:numFmt w:val="upperLetter"/>
      <w:start w:val="1"/>
    </w:lvl>
  </w:abstractNum>
  <w:abstractNum w:abstractNumId="40">
    <w:nsid w:val="6DE91B18"/>
    <w:multiLevelType w:val="hybridMultilevel"/>
    <w:lvl w:ilvl="0">
      <w:lvlJc w:val="left"/>
      <w:lvlText w:val="(%1)"/>
      <w:numFmt w:val="upperLetter"/>
      <w:start w:val="1"/>
    </w:lvl>
  </w:abstractNum>
  <w:abstractNum w:abstractNumId="41">
    <w:nsid w:val="38437FDB"/>
    <w:multiLevelType w:val="hybridMultilevel"/>
    <w:lvl w:ilvl="0">
      <w:lvlJc w:val="left"/>
      <w:lvlText w:val="(%1)"/>
      <w:numFmt w:val="upperLetter"/>
      <w:start w:val="1"/>
    </w:lvl>
  </w:abstractNum>
  <w:abstractNum w:abstractNumId="42">
    <w:nsid w:val="7644A45C"/>
    <w:multiLevelType w:val="hybridMultilevel"/>
    <w:lvl w:ilvl="0">
      <w:lvlJc w:val="left"/>
      <w:lvlText w:val="(%1)"/>
      <w:numFmt w:val="upperLetter"/>
      <w:start w:val="1"/>
    </w:lvl>
  </w:abstractNum>
  <w:abstractNum w:abstractNumId="43">
    <w:nsid w:val="32FFF902"/>
    <w:multiLevelType w:val="hybridMultilevel"/>
    <w:lvl w:ilvl="0">
      <w:lvlJc w:val="left"/>
      <w:lvlText w:val="%1"/>
      <w:numFmt w:val="upperLetter"/>
      <w:start w:val="35"/>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upperLetter"/>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97"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10" Type="http://schemas.openxmlformats.org/officeDocument/2006/relationships/image" Target="media/image62.png"/><Relationship Id="rId111" Type="http://schemas.openxmlformats.org/officeDocument/2006/relationships/image" Target="media/image63.png"/><Relationship Id="rId112" Type="http://schemas.openxmlformats.org/officeDocument/2006/relationships/image" Target="media/image64.png"/><Relationship Id="rId113" Type="http://schemas.openxmlformats.org/officeDocument/2006/relationships/image" Target="media/image65.png"/><Relationship Id="rId114" Type="http://schemas.openxmlformats.org/officeDocument/2006/relationships/image" Target="media/image66.png"/><Relationship Id="rId115" Type="http://schemas.openxmlformats.org/officeDocument/2006/relationships/image" Target="media/image67.png"/><Relationship Id="rId116" Type="http://schemas.openxmlformats.org/officeDocument/2006/relationships/image" Target="media/image68.png"/><Relationship Id="rId117" Type="http://schemas.openxmlformats.org/officeDocument/2006/relationships/image" Target="media/image69.png"/><Relationship Id="rId118"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1" Type="http://schemas.openxmlformats.org/officeDocument/2006/relationships/image" Target="media/image73.png"/><Relationship Id="rId12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63" Type="http://schemas.openxmlformats.org/officeDocument/2006/relationships/hyperlink" Target="https://www.sec.gov/Archives/edgar/data/921825/0000950137-96-001453.txt" TargetMode="External"/><Relationship Id="rId64" Type="http://schemas.openxmlformats.org/officeDocument/2006/relationships/hyperlink" Target="https://www.sec.gov/Archives/edgar/data/921825/000119312515177127/d924762dex31.htm" TargetMode="External"/><Relationship Id="rId65" Type="http://schemas.openxmlformats.org/officeDocument/2006/relationships/hyperlink" Target="https://www.sec.gov/Archives/edgar/data/921825/0000912057-97-031499.txt" TargetMode="External"/><Relationship Id="rId66" Type="http://schemas.openxmlformats.org/officeDocument/2006/relationships/hyperlink" Target="https://www.sec.gov/Archives/edgar/data/921825/000095012311056118/c64955exv3w1.htm" TargetMode="External"/><Relationship Id="rId67" Type="http://schemas.openxmlformats.org/officeDocument/2006/relationships/hyperlink" Target="https://www.sec.gov/Archives/edgar/data/921825/000119312513214306/d537115dex31.htm" TargetMode="External"/><Relationship Id="rId68" Type="http://schemas.openxmlformats.org/officeDocument/2006/relationships/hyperlink" Target="https://www.sec.gov/Archives/edgar/data/921825/000119312517168666/d398530dex31.htm" TargetMode="External"/><Relationship Id="rId69" Type="http://schemas.openxmlformats.org/officeDocument/2006/relationships/hyperlink" Target="https://www.sec.gov/Archives/edgar/data/921825/000092182519000003/fr-20181231xex39.htm" TargetMode="External"/><Relationship Id="rId70" Type="http://schemas.openxmlformats.org/officeDocument/2006/relationships/hyperlink" Target="https://www.sec.gov/Archives/edgar/data/921825/0000950162-97-000409.txt" TargetMode="External"/><Relationship Id="rId71" Type="http://schemas.openxmlformats.org/officeDocument/2006/relationships/hyperlink" Target="https://www.sec.gov/Archives/edgar/data/1033128/0000950162-98-000760.txt" TargetMode="External"/><Relationship Id="rId72" Type="http://schemas.openxmlformats.org/officeDocument/2006/relationships/hyperlink" Target="https://www.sec.gov/Archives/edgar/data/1033128/000095016202000550/firtlpsuppindex.txt" TargetMode="External"/><Relationship Id="rId73" Type="http://schemas.openxmlformats.org/officeDocument/2006/relationships/hyperlink" Target="https://www.sec.gov/Archives/edgar/data/921825/000092182522000011/fr-20211231xex49.htm" TargetMode="External"/><Relationship Id="rId74" Type="http://schemas.openxmlformats.org/officeDocument/2006/relationships/hyperlink" Target="https://www.sec.gov/Archives/edgar/data/921825/000119312525119870/d97034dex11.htm" TargetMode="External"/><Relationship Id="rId75" Type="http://schemas.openxmlformats.org/officeDocument/2006/relationships/hyperlink" Target="https://www.sec.gov/Archives/edgar/data/921825/000119312525119870/d97034dex41.htm" TargetMode="External"/><Relationship Id="rId76" Type="http://schemas.openxmlformats.org/officeDocument/2006/relationships/hyperlink" Target="https://www.sec.gov/Archives/edgar/data/921825/000119312525119870/d97034dex42.htm" TargetMode="External"/><Relationship Id="rId80" Type="http://schemas.openxmlformats.org/officeDocument/2006/relationships/hyperlink" Target="https://www.sec.gov/Archives/edgar/data/921825/000119312513270772/d560199dex101.htm" TargetMode="External"/><Relationship Id="rId81" Type="http://schemas.openxmlformats.org/officeDocument/2006/relationships/hyperlink" Target="https://www.sec.gov/Archives/edgar/data/921825/000092182519000003/fr-20181231xex104.htm" TargetMode="External"/><Relationship Id="rId82" Type="http://schemas.openxmlformats.org/officeDocument/2006/relationships/hyperlink" Target="https://www.sec.gov/Archives/edgar/data/921825/000092182520000021/fr-202056xex101.htm" TargetMode="External"/><Relationship Id="rId83" Type="http://schemas.openxmlformats.org/officeDocument/2006/relationships/hyperlink" Target="https://www.sec.gov/ix?doc=/Archives/edgar/data/0000921825/000092182524000053/fr-20240501.htm" TargetMode="External"/><Relationship Id="rId84" Type="http://schemas.openxmlformats.org/officeDocument/2006/relationships/hyperlink" Target="https://www.sec.gov/Archives/edgar/data/921825/000092182525000019/fr-20241231xex106.htm" TargetMode="External"/><Relationship Id="rId85" Type="http://schemas.openxmlformats.org/officeDocument/2006/relationships/hyperlink" Target="https://www.sec.gov/Archives/edgar/data/921825/000092182523000011/fr-20221231xex109.htm" TargetMode="External"/><Relationship Id="rId86" Type="http://schemas.openxmlformats.org/officeDocument/2006/relationships/hyperlink" Target="https://www.sec.gov/Archives/edgar/data/921825/000092182523000011/fr-20221231xex1010.htm" TargetMode="External"/><Relationship Id="rId87" Type="http://schemas.openxmlformats.org/officeDocument/2006/relationships/hyperlink" Target="https://www.sec.gov/Archives/edgar/data/921825/000092182523000011/fr-20221231xex1011.htm" TargetMode="External"/><Relationship Id="rId88" Type="http://schemas.openxmlformats.org/officeDocument/2006/relationships/hyperlink" Target="https://www.sec.gov/Archives/edgar/data/921825/000092182523000011/fr-20221231xex1012.htm" TargetMode="External"/><Relationship Id="rId89" Type="http://schemas.openxmlformats.org/officeDocument/2006/relationships/hyperlink" Target="https://www.sec.gov/Archives/edgar/data/921825/000092182525000019/fr-20241231xex1015.htm" TargetMode="External"/><Relationship Id="rId90" Type="http://schemas.openxmlformats.org/officeDocument/2006/relationships/hyperlink" Target="https://www.sec.gov/Archives/edgar/data/921825/000092182525000019/fr-20241231xex1016.htm" TargetMode="External"/><Relationship Id="rId91" Type="http://schemas.openxmlformats.org/officeDocument/2006/relationships/hyperlink" Target="https://www.sec.gov/Archives/edgar/data/921825/000092182525000019/fr-20241231xex1017.htm" TargetMode="External"/><Relationship Id="rId92" Type="http://schemas.openxmlformats.org/officeDocument/2006/relationships/hyperlink" Target="https://www.sec.gov/Archives/edgar/data/921825/000092182525000019/fr-20241231xex1018.htm" TargetMode="External"/><Relationship Id="rId93" Type="http://schemas.openxmlformats.org/officeDocument/2006/relationships/hyperlink" Target="https://www.sec.gov/Archives/edgar/data/921825/000092182525000019/fr-20241231xex1019.htm" TargetMode="External"/><Relationship Id="rId94" Type="http://schemas.openxmlformats.org/officeDocument/2006/relationships/hyperlink" Target="https://www.sec.gov/Archives/edgar/data/921825/000119312517052835/d352100dex101.htm" TargetMode="External"/><Relationship Id="rId95" Type="http://schemas.openxmlformats.org/officeDocument/2006/relationships/hyperlink" Target="https://www.sec.gov/Archives/edgar/data/921825/000119312517370172/d465945dex101.htm" TargetMode="External"/><Relationship Id="rId96" Type="http://schemas.openxmlformats.org/officeDocument/2006/relationships/hyperlink" Target="https://www.sec.gov/Archives/edgar/data/921825/000119312517370172/d465945dex102.htm" TargetMode="External"/><Relationship Id="rId98" Type="http://schemas.openxmlformats.org/officeDocument/2006/relationships/hyperlink" Target="https://www.sec.gov/Archives/edgar/data/921825/000119312519151814/d749872dex101.htm" TargetMode="External"/><Relationship Id="rId99" Type="http://schemas.openxmlformats.org/officeDocument/2006/relationships/hyperlink" Target="https://www.sec.gov/Archives/edgar/data/921825/000092182525000096/fr-2025820xex101.htm" TargetMode="External"/><Relationship Id="rId100" Type="http://schemas.openxmlformats.org/officeDocument/2006/relationships/hyperlink" Target="https://www.sec.gov/Archives/edgar/data/921825/000092182525000096/fr-2025820xex102.htm" TargetMode="External"/><Relationship Id="rId101" Type="http://schemas.openxmlformats.org/officeDocument/2006/relationships/hyperlink" Target="https://www.sec.gov/Archives/edgar/data/921825/000119312520189734/d866448dex101.htm" TargetMode="External"/><Relationship Id="rId102" Type="http://schemas.openxmlformats.org/officeDocument/2006/relationships/hyperlink" Target="https://www.sec.gov/Archives/edgar/data/921825/000092182525000023/fr-2025318xex101.htm" TargetMode="External"/><Relationship Id="rId103" Type="http://schemas.openxmlformats.org/officeDocument/2006/relationships/hyperlink" Target="https://www.sec.gov/Archives/edgar/data/921825/000092182525000023/fr-2025318xex102.htm" TargetMode="External"/><Relationship Id="rId104" Type="http://schemas.openxmlformats.org/officeDocument/2006/relationships/hyperlink" Target="https://www.sec.gov/Archives/edgar/data/0000921825/000092182522000017/fr-2022420xex101.htm" TargetMode="External"/><Relationship Id="rId105" Type="http://schemas.openxmlformats.org/officeDocument/2006/relationships/hyperlink" Target="https://www.sec.gov/Archives/edgar/data/921825/000092182523000037/fr-2023531xex103.htm" TargetMode="External"/><Relationship Id="rId106" Type="http://schemas.openxmlformats.org/officeDocument/2006/relationships/hyperlink" Target="https://www.sec.gov/Archives/edgar/data/0000921825/000092182522000039/fr-2022812xex101.htm" TargetMode="External"/><Relationship Id="rId109" Type="http://schemas.openxmlformats.org/officeDocument/2006/relationships/hyperlink" Target="https://www.sec.gov/Archives/edgar/data/921825/000092182524000018/fr-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2026-02-11T16:28:58Z</dcterms:created>
  <dcterms:modified xsi:type="dcterms:W3CDTF">2026-02-11T16:28:58Z</dcterms:modified>
</cp:coreProperties>
</file>